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hint="default" w:ascii="Times New Roman" w:hAnsi="Times New Roman" w:cs="Times New Roman"/>
          <w:color w:val="auto"/>
        </w:rPr>
      </w:pPr>
      <w:r>
        <w:rPr>
          <w:rFonts w:hint="default" w:ascii="Times New Roman" w:hAnsi="Times New Roman" w:cs="Times New Roman"/>
          <w:color w:val="auto"/>
        </w:rPr>
        <w:pict>
          <v:shape id="_x0000_s1064" o:spid="_x0000_s1064" o:spt="136" type="#_x0000_t136" style="position:absolute;left:0pt;margin-left:372.75pt;margin-top:7.8pt;height:42.45pt;width:66.35pt;mso-wrap-distance-left:9pt;mso-wrap-distance-right:9pt;z-index:-251651072;mso-width-relative:page;mso-height-relative:page;" fillcolor="#000000" filled="t" coordsize="21600,21600" wrapcoords="1227 -379 1227 0 2945 5684 2945 11747 -245 17811 -245 19705 0 21221 491 21221 10555 21221 11045 21221 18164 18189 18409 17811 20373 11747 20373 5684 21355 5684 21600 3411 21109 -379 1227 -379">
            <v:path/>
            <v:fill on="t" focussize="0,0"/>
            <v:stroke/>
            <v:imagedata o:title=""/>
            <o:lock v:ext="edit" aspectratio="t"/>
            <v:textpath on="t" fitshape="t" fitpath="t" trim="t" xscale="f" string="JJF" style="font-family:宋体;font-size:36pt;font-weight:bold;v-text-align:center;"/>
            <w10:wrap type="through"/>
          </v:shape>
        </w:pict>
      </w:r>
    </w:p>
    <w:p>
      <w:pPr>
        <w:rPr>
          <w:rFonts w:hint="default" w:ascii="Times New Roman" w:hAnsi="Times New Roman" w:cs="Times New Roman"/>
          <w:color w:val="auto"/>
        </w:rPr>
      </w:pPr>
    </w:p>
    <w:p>
      <w:pPr>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val="0"/>
        <w:snapToGrid/>
        <w:ind w:left="425"/>
        <w:jc w:val="distribute"/>
        <w:textAlignment w:val="auto"/>
        <w:outlineLvl w:val="9"/>
        <w:rPr>
          <w:rFonts w:hint="default" w:ascii="Times New Roman" w:hAnsi="Times New Roman" w:cs="Times New Roman"/>
          <w:b/>
          <w:color w:val="auto"/>
          <w:sz w:val="52"/>
          <w:szCs w:val="52"/>
        </w:rPr>
      </w:pPr>
      <w:bookmarkStart w:id="0" w:name="_Toc16292"/>
      <w:r>
        <w:rPr>
          <w:rFonts w:hint="default" w:ascii="Times New Roman" w:hAnsi="Times New Roman" w:cs="Times New Roman"/>
          <w:b/>
          <w:color w:val="auto"/>
          <w:sz w:val="52"/>
          <w:szCs w:val="52"/>
        </w:rPr>
        <w:t>中华人民共和国国家计量技术规范</w:t>
      </w:r>
      <w:bookmarkEnd w:id="0"/>
    </w:p>
    <w:p>
      <w:pPr>
        <w:rPr>
          <w:rFonts w:hint="default" w:ascii="Times New Roman" w:hAnsi="Times New Roman" w:cs="Times New Roman"/>
          <w:color w:val="auto"/>
        </w:rPr>
      </w:pPr>
    </w:p>
    <w:p>
      <w:pPr>
        <w:rPr>
          <w:rFonts w:hint="default" w:ascii="Times New Roman" w:hAnsi="Times New Roman" w:eastAsia="黑体" w:cs="Times New Roman"/>
          <w:color w:val="auto"/>
          <w:sz w:val="28"/>
          <w:szCs w:val="28"/>
        </w:rPr>
      </w:pPr>
      <w:r>
        <w:rPr>
          <w:rFonts w:hint="default" w:ascii="Times New Roman" w:hAnsi="Times New Roman" w:cs="Times New Roman"/>
          <w:color w:val="auto"/>
        </w:rPr>
        <w:t xml:space="preserve">                                                </w:t>
      </w:r>
      <w:r>
        <w:rPr>
          <w:rFonts w:hint="default" w:ascii="Times New Roman" w:hAnsi="Times New Roman" w:cs="Times New Roman"/>
          <w:b/>
          <w:color w:val="auto"/>
        </w:rPr>
        <w:t xml:space="preserve">          </w:t>
      </w:r>
      <w:r>
        <w:rPr>
          <w:rFonts w:hint="default" w:ascii="Times New Roman" w:hAnsi="Times New Roman" w:cs="Times New Roman"/>
          <w:color w:val="auto"/>
        </w:rPr>
        <w:t xml:space="preserve"> </w:t>
      </w:r>
      <w:r>
        <w:rPr>
          <w:rFonts w:hint="default" w:ascii="Times New Roman" w:hAnsi="Times New Roman" w:eastAsia="黑体" w:cs="Times New Roman"/>
          <w:color w:val="auto"/>
          <w:sz w:val="28"/>
          <w:szCs w:val="28"/>
        </w:rPr>
        <w:t xml:space="preserve">JJF </w:t>
      </w:r>
      <w:r>
        <w:rPr>
          <w:rFonts w:hint="default" w:ascii="Times New Roman" w:hAnsi="Times New Roman" w:eastAsia="黑体" w:cs="Times New Roman"/>
          <w:color w:val="auto"/>
          <w:sz w:val="28"/>
          <w:szCs w:val="28"/>
          <w:lang w:val="en-US" w:eastAsia="zh-CN"/>
        </w:rPr>
        <w:t>xxxx</w:t>
      </w:r>
      <w:r>
        <w:rPr>
          <w:rFonts w:hint="default" w:ascii="Times New Roman" w:hAnsi="Times New Roman" w:eastAsia="黑体" w:cs="Times New Roman"/>
          <w:color w:val="auto"/>
          <w:sz w:val="28"/>
          <w:szCs w:val="28"/>
        </w:rPr>
        <w:t>-202</w:t>
      </w:r>
      <w:r>
        <w:rPr>
          <w:rFonts w:hint="default" w:ascii="Times New Roman" w:hAnsi="Times New Roman" w:eastAsia="黑体" w:cs="Times New Roman"/>
          <w:color w:val="auto"/>
          <w:sz w:val="28"/>
          <w:szCs w:val="28"/>
          <w:lang w:val="en-US" w:eastAsia="zh-CN"/>
        </w:rPr>
        <w:t>x</w:t>
      </w:r>
      <w:r>
        <w:rPr>
          <w:rFonts w:hint="default" w:ascii="Times New Roman" w:hAnsi="Times New Roman" w:eastAsia="黑体" w:cs="Times New Roman"/>
          <w:color w:val="auto"/>
          <w:sz w:val="28"/>
          <w:szCs w:val="28"/>
        </w:rPr>
        <w:t xml:space="preserve"> </w:t>
      </w:r>
    </w:p>
    <w:p>
      <w:pPr>
        <w:rPr>
          <w:rFonts w:hint="default" w:ascii="Times New Roman" w:hAnsi="Times New Roman" w:cs="Times New Roman"/>
          <w:color w:val="auto"/>
        </w:rPr>
      </w:pPr>
      <w:r>
        <w:rPr>
          <w:rFonts w:hint="default" w:ascii="Times New Roman" w:hAnsi="Times New Roman" w:cs="Times New Roman"/>
          <w:color w:val="auto"/>
        </w:rPr>
        <w:t xml:space="preserve">                                               </w:t>
      </w:r>
    </w:p>
    <w:p>
      <w:pPr>
        <w:rPr>
          <w:rFonts w:hint="default" w:ascii="Times New Roman" w:hAnsi="Times New Roman" w:cs="Times New Roman"/>
          <w:color w:val="auto"/>
        </w:rPr>
      </w:pPr>
      <w:r>
        <w:rPr>
          <w:rFonts w:hint="default" w:ascii="Times New Roman" w:hAnsi="Times New Roman" w:cs="Times New Roman"/>
          <w:color w:val="auto"/>
        </w:rPr>
        <mc:AlternateContent>
          <mc:Choice Requires="wps">
            <w:drawing>
              <wp:anchor distT="0" distB="0" distL="114300" distR="114300" simplePos="0" relativeHeight="251659264" behindDoc="0" locked="0" layoutInCell="1" allowOverlap="1">
                <wp:simplePos x="0" y="0"/>
                <wp:positionH relativeFrom="margin">
                  <wp:posOffset>-6350</wp:posOffset>
                </wp:positionH>
                <wp:positionV relativeFrom="margin">
                  <wp:posOffset>2377440</wp:posOffset>
                </wp:positionV>
                <wp:extent cx="6056630" cy="2540"/>
                <wp:effectExtent l="8890" t="11430" r="11430" b="14605"/>
                <wp:wrapNone/>
                <wp:docPr id="219" name="AutoShape 35"/>
                <wp:cNvGraphicFramePr/>
                <a:graphic xmlns:a="http://schemas.openxmlformats.org/drawingml/2006/main">
                  <a:graphicData uri="http://schemas.microsoft.com/office/word/2010/wordprocessingShape">
                    <wps:wsp>
                      <wps:cNvCnPr>
                        <a:cxnSpLocks noChangeShapeType="1"/>
                      </wps:cNvCnPr>
                      <wps:spPr bwMode="auto">
                        <a:xfrm flipV="1">
                          <a:off x="0" y="0"/>
                          <a:ext cx="6056630" cy="2540"/>
                        </a:xfrm>
                        <a:prstGeom prst="straightConnector1">
                          <a:avLst/>
                        </a:prstGeom>
                        <a:noFill/>
                        <a:ln w="15875">
                          <a:solidFill>
                            <a:srgbClr val="000000"/>
                          </a:solidFill>
                          <a:round/>
                        </a:ln>
                      </wps:spPr>
                      <wps:bodyPr/>
                    </wps:wsp>
                  </a:graphicData>
                </a:graphic>
              </wp:anchor>
            </w:drawing>
          </mc:Choice>
          <mc:Fallback>
            <w:pict>
              <v:shape id="AutoShape 35" o:spid="_x0000_s1026" o:spt="32" type="#_x0000_t32" style="position:absolute;left:0pt;flip:y;margin-left:-0.5pt;margin-top:187.2pt;height:0.2pt;width:476.9pt;mso-position-horizontal-relative:margin;mso-position-vertical-relative:margin;z-index:251659264;mso-width-relative:page;mso-height-relative:page;" filled="f" stroked="t" coordsize="21600,21600" o:gfxdata="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NnFoHaAAAA&#10;CgEAAA8AAAAAAAAAAQAgAAAAIgAAAGRycy9kb3ducmV2LnhtbFBLAQIUABQAAAAIAIdO4kC6hJIE&#10;4gEAAMMDAAAOAAAAAAAAAAEAIAAAACkBAABkcnMvZTJvRG9jLnhtbFBLBQYAAAAABgAGAFkBAAB9&#10;BQAAAAA=&#10;">
                <v:fill on="f" focussize="0,0"/>
                <v:stroke weight="1.25pt" color="#000000" joinstyle="round"/>
                <v:imagedata o:title=""/>
                <o:lock v:ext="edit" aspectratio="f"/>
              </v:shape>
            </w:pict>
          </mc:Fallback>
        </mc:AlternateContent>
      </w:r>
    </w:p>
    <w:p>
      <w:pPr>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snapToGrid/>
        <w:ind w:left="-5" w:leftChars="-2" w:firstLine="6"/>
        <w:jc w:val="center"/>
        <w:textAlignment w:val="auto"/>
        <w:outlineLvl w:val="9"/>
        <w:rPr>
          <w:rFonts w:hint="default" w:ascii="Times New Roman" w:hAnsi="Times New Roman" w:eastAsia="黑体" w:cs="Times New Roman"/>
          <w:color w:val="auto"/>
          <w:sz w:val="52"/>
          <w:szCs w:val="52"/>
          <w:lang w:val="en-US" w:eastAsia="zh-CN"/>
        </w:rPr>
      </w:pPr>
      <w:r>
        <w:rPr>
          <w:rFonts w:hint="default" w:ascii="Times New Roman" w:hAnsi="Times New Roman" w:eastAsia="黑体" w:cs="Times New Roman"/>
          <w:color w:val="auto"/>
          <w:sz w:val="52"/>
          <w:szCs w:val="52"/>
          <w:lang w:val="en-US" w:eastAsia="zh-CN"/>
        </w:rPr>
        <w:t>固体剂量计邮寄核验放疗水吸收剂量</w:t>
      </w:r>
    </w:p>
    <w:p>
      <w:pPr>
        <w:keepNext w:val="0"/>
        <w:keepLines w:val="0"/>
        <w:pageBreakBefore w:val="0"/>
        <w:widowControl w:val="0"/>
        <w:kinsoku/>
        <w:wordWrap/>
        <w:overflowPunct/>
        <w:topLinePunct w:val="0"/>
        <w:autoSpaceDE/>
        <w:autoSpaceDN/>
        <w:bidi w:val="0"/>
        <w:adjustRightInd/>
        <w:snapToGrid/>
        <w:ind w:left="-5" w:leftChars="-2" w:firstLine="6"/>
        <w:jc w:val="center"/>
        <w:textAlignment w:val="auto"/>
        <w:outlineLvl w:val="9"/>
        <w:rPr>
          <w:rFonts w:hint="default" w:ascii="Times New Roman" w:hAnsi="Times New Roman" w:eastAsia="黑体" w:cs="Times New Roman"/>
          <w:color w:val="auto"/>
          <w:sz w:val="52"/>
          <w:szCs w:val="52"/>
          <w:lang w:val="en-US" w:eastAsia="zh-CN"/>
        </w:rPr>
      </w:pPr>
      <w:r>
        <w:rPr>
          <w:rFonts w:hint="default" w:ascii="Times New Roman" w:hAnsi="Times New Roman" w:eastAsia="黑体" w:cs="Times New Roman"/>
          <w:color w:val="auto"/>
          <w:sz w:val="52"/>
          <w:szCs w:val="52"/>
          <w:lang w:val="en-US" w:eastAsia="zh-CN"/>
        </w:rPr>
        <w:t>校准规范</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eastAsia="黑体" w:cs="Times New Roman"/>
          <w:color w:val="auto"/>
          <w:kern w:val="0"/>
          <w:sz w:val="28"/>
        </w:rPr>
      </w:pPr>
      <w:r>
        <w:rPr>
          <w:rFonts w:hint="default" w:ascii="Times New Roman" w:hAnsi="Times New Roman" w:eastAsia="黑体" w:cs="Times New Roman"/>
          <w:color w:val="auto"/>
          <w:kern w:val="0"/>
          <w:sz w:val="28"/>
        </w:rPr>
        <w:t xml:space="preserve">Calibration </w:t>
      </w:r>
      <w:r>
        <w:rPr>
          <w:rFonts w:hint="default" w:ascii="Times New Roman" w:hAnsi="Times New Roman" w:eastAsia="黑体" w:cs="Times New Roman"/>
          <w:color w:val="auto"/>
          <w:kern w:val="0"/>
          <w:sz w:val="28"/>
          <w:lang w:val="en-US" w:eastAsia="zh-CN"/>
        </w:rPr>
        <w:t>S</w:t>
      </w:r>
      <w:r>
        <w:rPr>
          <w:rFonts w:hint="default" w:ascii="Times New Roman" w:hAnsi="Times New Roman" w:eastAsia="黑体" w:cs="Times New Roman"/>
          <w:color w:val="auto"/>
          <w:kern w:val="0"/>
          <w:sz w:val="28"/>
        </w:rPr>
        <w:t xml:space="preserve">pecification for </w:t>
      </w:r>
      <w:r>
        <w:rPr>
          <w:rFonts w:hint="default" w:ascii="Times New Roman" w:hAnsi="Times New Roman" w:eastAsia="黑体" w:cs="Times New Roman"/>
          <w:color w:val="auto"/>
          <w:kern w:val="0"/>
          <w:sz w:val="28"/>
          <w:lang w:val="en-US" w:eastAsia="zh-CN"/>
        </w:rPr>
        <w:t>V</w:t>
      </w:r>
      <w:r>
        <w:rPr>
          <w:rFonts w:hint="default" w:ascii="Times New Roman" w:hAnsi="Times New Roman" w:eastAsia="黑体" w:cs="Times New Roman"/>
          <w:color w:val="auto"/>
          <w:kern w:val="0"/>
          <w:sz w:val="28"/>
        </w:rPr>
        <w:t xml:space="preserve">erifying the </w:t>
      </w:r>
      <w:r>
        <w:rPr>
          <w:rFonts w:hint="default" w:ascii="Times New Roman" w:hAnsi="Times New Roman" w:eastAsia="黑体" w:cs="Times New Roman"/>
          <w:color w:val="auto"/>
          <w:kern w:val="0"/>
          <w:sz w:val="28"/>
          <w:lang w:val="en-US" w:eastAsia="zh-CN"/>
        </w:rPr>
        <w:t>A</w:t>
      </w:r>
      <w:r>
        <w:rPr>
          <w:rFonts w:hint="default" w:ascii="Times New Roman" w:hAnsi="Times New Roman" w:eastAsia="黑体" w:cs="Times New Roman"/>
          <w:color w:val="auto"/>
          <w:kern w:val="0"/>
          <w:sz w:val="28"/>
        </w:rPr>
        <w:t xml:space="preserve">bsorbed </w:t>
      </w:r>
      <w:r>
        <w:rPr>
          <w:rFonts w:hint="default" w:ascii="Times New Roman" w:hAnsi="Times New Roman" w:eastAsia="黑体" w:cs="Times New Roman"/>
          <w:color w:val="auto"/>
          <w:kern w:val="0"/>
          <w:sz w:val="28"/>
          <w:lang w:val="en-US" w:eastAsia="zh-CN"/>
        </w:rPr>
        <w:t>D</w:t>
      </w:r>
      <w:r>
        <w:rPr>
          <w:rFonts w:hint="default" w:ascii="Times New Roman" w:hAnsi="Times New Roman" w:eastAsia="黑体" w:cs="Times New Roman"/>
          <w:color w:val="auto"/>
          <w:kern w:val="0"/>
          <w:sz w:val="28"/>
        </w:rPr>
        <w:t xml:space="preserve">ose </w:t>
      </w:r>
      <w:r>
        <w:rPr>
          <w:rFonts w:hint="default" w:ascii="Times New Roman" w:hAnsi="Times New Roman" w:eastAsia="黑体" w:cs="Times New Roman"/>
          <w:color w:val="auto"/>
          <w:kern w:val="0"/>
          <w:sz w:val="28"/>
          <w:lang w:val="en-US" w:eastAsia="zh-CN"/>
        </w:rPr>
        <w:t>to W</w:t>
      </w:r>
      <w:r>
        <w:rPr>
          <w:rFonts w:hint="default" w:ascii="Times New Roman" w:hAnsi="Times New Roman" w:eastAsia="黑体" w:cs="Times New Roman"/>
          <w:color w:val="auto"/>
          <w:kern w:val="0"/>
          <w:sz w:val="28"/>
        </w:rPr>
        <w:t xml:space="preserve">ater </w:t>
      </w:r>
      <w:r>
        <w:rPr>
          <w:rFonts w:hint="default" w:ascii="Times New Roman" w:hAnsi="Times New Roman" w:eastAsia="黑体" w:cs="Times New Roman"/>
          <w:color w:val="auto"/>
          <w:kern w:val="0"/>
          <w:sz w:val="28"/>
          <w:lang w:val="en-US" w:eastAsia="zh-CN"/>
        </w:rPr>
        <w:t>of</w:t>
      </w: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R</w:t>
      </w:r>
      <w:r>
        <w:rPr>
          <w:rFonts w:hint="default" w:ascii="Times New Roman" w:hAnsi="Times New Roman" w:eastAsia="黑体" w:cs="Times New Roman"/>
          <w:color w:val="auto"/>
          <w:kern w:val="0"/>
          <w:sz w:val="28"/>
        </w:rPr>
        <w:t xml:space="preserve">adiotherapy by </w:t>
      </w:r>
      <w:r>
        <w:rPr>
          <w:rFonts w:hint="default" w:ascii="Times New Roman" w:hAnsi="Times New Roman" w:eastAsia="黑体" w:cs="Times New Roman"/>
          <w:color w:val="auto"/>
          <w:kern w:val="0"/>
          <w:sz w:val="28"/>
          <w:lang w:val="en-US" w:eastAsia="zh-CN"/>
        </w:rPr>
        <w:t>M</w:t>
      </w:r>
      <w:r>
        <w:rPr>
          <w:rFonts w:hint="default" w:ascii="Times New Roman" w:hAnsi="Times New Roman" w:eastAsia="黑体" w:cs="Times New Roman"/>
          <w:color w:val="auto"/>
          <w:kern w:val="0"/>
          <w:sz w:val="28"/>
        </w:rPr>
        <w:t>ail</w:t>
      </w:r>
      <w:r>
        <w:rPr>
          <w:rFonts w:hint="default" w:ascii="Times New Roman" w:hAnsi="Times New Roman" w:eastAsia="黑体" w:cs="Times New Roman"/>
          <w:color w:val="auto"/>
          <w:kern w:val="0"/>
          <w:sz w:val="28"/>
          <w:lang w:val="en-US" w:eastAsia="zh-CN"/>
        </w:rPr>
        <w:t>ing</w:t>
      </w: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S</w:t>
      </w:r>
      <w:r>
        <w:rPr>
          <w:rFonts w:hint="default" w:ascii="Times New Roman" w:hAnsi="Times New Roman" w:eastAsia="黑体" w:cs="Times New Roman"/>
          <w:color w:val="auto"/>
          <w:kern w:val="0"/>
          <w:sz w:val="28"/>
        </w:rPr>
        <w:t>olid</w:t>
      </w:r>
      <w:r>
        <w:rPr>
          <w:rFonts w:hint="default" w:ascii="Times New Roman" w:hAnsi="Times New Roman" w:eastAsia="黑体" w:cs="Times New Roman"/>
          <w:color w:val="auto"/>
          <w:kern w:val="0"/>
          <w:sz w:val="28"/>
          <w:lang w:val="en-US" w:eastAsia="zh-CN"/>
        </w:rPr>
        <w:t xml:space="preserve"> State</w:t>
      </w: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D</w:t>
      </w:r>
      <w:r>
        <w:rPr>
          <w:rFonts w:hint="default" w:ascii="Times New Roman" w:hAnsi="Times New Roman" w:eastAsia="黑体" w:cs="Times New Roman"/>
          <w:color w:val="auto"/>
          <w:kern w:val="0"/>
          <w:sz w:val="28"/>
        </w:rPr>
        <w:t xml:space="preserve">osimeters </w:t>
      </w:r>
    </w:p>
    <w:p>
      <w:pPr>
        <w:jc w:val="center"/>
        <w:rPr>
          <w:rFonts w:hint="default" w:ascii="Times New Roman" w:hAnsi="Times New Roman" w:eastAsia="黑体" w:cs="Times New Roman"/>
          <w:color w:val="auto"/>
          <w:kern w:val="0"/>
          <w:sz w:val="28"/>
        </w:rPr>
      </w:pPr>
    </w:p>
    <w:p>
      <w:pPr>
        <w:jc w:val="center"/>
        <w:rPr>
          <w:rFonts w:hint="default" w:ascii="Times New Roman" w:hAnsi="Times New Roman" w:eastAsia="黑体" w:cs="Times New Roman"/>
          <w:color w:val="auto"/>
          <w:kern w:val="0"/>
          <w:sz w:val="28"/>
        </w:rPr>
      </w:pPr>
      <w:r>
        <w:rPr>
          <w:rFonts w:hint="default" w:ascii="Times New Roman" w:hAnsi="Times New Roman" w:eastAsia="黑体" w:cs="Times New Roman"/>
          <w:color w:val="auto"/>
          <w:kern w:val="0"/>
          <w:sz w:val="28"/>
        </w:rPr>
        <w:t>（</w:t>
      </w:r>
      <w:r>
        <w:rPr>
          <w:rFonts w:hint="eastAsia" w:eastAsia="黑体" w:cs="Times New Roman"/>
          <w:color w:val="auto"/>
          <w:kern w:val="0"/>
          <w:sz w:val="28"/>
          <w:lang w:val="en-US" w:eastAsia="zh-CN"/>
        </w:rPr>
        <w:t>征求意见</w:t>
      </w:r>
      <w:r>
        <w:rPr>
          <w:rFonts w:hint="default" w:ascii="Times New Roman" w:hAnsi="Times New Roman" w:eastAsia="黑体" w:cs="Times New Roman"/>
          <w:color w:val="auto"/>
          <w:kern w:val="0"/>
          <w:sz w:val="28"/>
        </w:rPr>
        <w:t xml:space="preserve">稿） </w:t>
      </w:r>
    </w:p>
    <w:p>
      <w:pPr>
        <w:ind w:left="72"/>
        <w:jc w:val="center"/>
        <w:rPr>
          <w:rFonts w:hint="default" w:ascii="Times New Roman" w:hAnsi="Times New Roman" w:eastAsia="黑体" w:cs="Times New Roman"/>
          <w:b/>
          <w:color w:val="auto"/>
          <w:sz w:val="28"/>
          <w:szCs w:val="28"/>
        </w:rPr>
      </w:pPr>
    </w:p>
    <w:p>
      <w:pPr>
        <w:ind w:left="72"/>
        <w:jc w:val="left"/>
        <w:rPr>
          <w:rFonts w:hint="default" w:ascii="Times New Roman" w:hAnsi="Times New Roman" w:eastAsia="黑体" w:cs="Times New Roman"/>
          <w:b/>
          <w:color w:val="auto"/>
          <w:sz w:val="28"/>
          <w:szCs w:val="28"/>
        </w:rPr>
      </w:pPr>
    </w:p>
    <w:p>
      <w:pPr>
        <w:ind w:left="72"/>
        <w:jc w:val="left"/>
        <w:rPr>
          <w:rFonts w:hint="default" w:ascii="Times New Roman" w:hAnsi="Times New Roman" w:eastAsia="黑体" w:cs="Times New Roman"/>
          <w:b/>
          <w:color w:val="auto"/>
          <w:sz w:val="28"/>
          <w:szCs w:val="28"/>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ind w:firstLine="480" w:firstLineChars="200"/>
        <w:rPr>
          <w:rFonts w:hint="default" w:ascii="Times New Roman" w:hAnsi="Times New Roman" w:eastAsia="黑体" w:cs="Times New Roman"/>
          <w:color w:val="auto"/>
          <w:sz w:val="28"/>
          <w:szCs w:val="28"/>
        </w:rPr>
      </w:pPr>
      <w:r>
        <w:rPr>
          <w:rFonts w:hint="default" w:ascii="Times New Roman" w:hAnsi="Times New Roman" w:cs="Times New Roman"/>
          <w:color w:val="auto"/>
        </w:rPr>
        <mc:AlternateContent>
          <mc:Choice Requires="wps">
            <w:drawing>
              <wp:anchor distT="0" distB="0" distL="114300" distR="114300" simplePos="0" relativeHeight="251660288" behindDoc="1" locked="0" layoutInCell="1" allowOverlap="1">
                <wp:simplePos x="0" y="0"/>
                <wp:positionH relativeFrom="column">
                  <wp:posOffset>26035</wp:posOffset>
                </wp:positionH>
                <wp:positionV relativeFrom="paragraph">
                  <wp:posOffset>304800</wp:posOffset>
                </wp:positionV>
                <wp:extent cx="5939790" cy="0"/>
                <wp:effectExtent l="12700" t="10160" r="10160" b="18415"/>
                <wp:wrapNone/>
                <wp:docPr id="218" name="AutoShape 42"/>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19050">
                          <a:solidFill>
                            <a:srgbClr val="000000"/>
                          </a:solidFill>
                          <a:round/>
                        </a:ln>
                      </wps:spPr>
                      <wps:bodyPr/>
                    </wps:wsp>
                  </a:graphicData>
                </a:graphic>
              </wp:anchor>
            </w:drawing>
          </mc:Choice>
          <mc:Fallback>
            <w:pict>
              <v:shape id="AutoShape 42" o:spid="_x0000_s1026" o:spt="32" type="#_x0000_t32" style="position:absolute;left:0pt;margin-left:2.05pt;margin-top:24pt;height:0pt;width:467.7pt;z-index:-251656192;mso-width-relative:page;mso-height-relative:page;" filled="f" stroked="t" coordsize="21600,21600" o:gfxdata="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FGcjD0wAAAAcBAAAPAAAAAAAAAAEAIAAA&#10;ACIAAABkcnMvZG93bnJldi54bWxQSwECFAAUAAAACACHTuJAV9a5edgBAAC2AwAADgAAAAAAAAAB&#10;ACAAAAAiAQAAZHJzL2Uyb0RvYy54bWxQSwUGAAAAAAYABgBZAQAAbAUAAAAA&#10;">
                <v:fill on="f" focussize="0,0"/>
                <v:stroke weight="1.5pt" color="#000000" joinstyle="round"/>
                <v:imagedata o:title=""/>
                <o:lock v:ext="edit" aspectratio="f"/>
              </v:shape>
            </w:pict>
          </mc:Fallback>
        </mc:AlternateContent>
      </w:r>
      <w:r>
        <w:rPr>
          <w:rFonts w:hint="default" w:ascii="Times New Roman" w:hAnsi="Times New Roman" w:eastAsia="黑体" w:cs="Times New Roman"/>
          <w:color w:val="auto"/>
          <w:sz w:val="28"/>
          <w:szCs w:val="28"/>
        </w:rPr>
        <w:t>XXXX-XX-XX</w:t>
      </w:r>
      <w:r>
        <w:rPr>
          <w:rFonts w:hint="default" w:ascii="Times New Roman" w:hAnsi="Times New Roman" w:cs="Times New Roman"/>
          <w:color w:val="auto"/>
          <w:sz w:val="28"/>
          <w:szCs w:val="28"/>
        </w:rPr>
        <w:t xml:space="preserve"> </w:t>
      </w:r>
      <w:r>
        <w:rPr>
          <w:rFonts w:hint="default" w:ascii="Times New Roman" w:hAnsi="Times New Roman" w:eastAsia="黑体" w:cs="Times New Roman"/>
          <w:color w:val="auto"/>
          <w:sz w:val="28"/>
          <w:szCs w:val="28"/>
        </w:rPr>
        <w:t>发布                             XXXX-XX-XX实施</w:t>
      </w:r>
    </w:p>
    <w:p>
      <w:pPr>
        <w:jc w:val="left"/>
        <w:rPr>
          <w:rFonts w:hint="default" w:ascii="Times New Roman" w:hAnsi="Times New Roman" w:eastAsia="黑体" w:cs="Times New Roman"/>
          <w:b/>
          <w:color w:val="auto"/>
          <w:sz w:val="28"/>
          <w:szCs w:val="28"/>
        </w:rPr>
      </w:pPr>
      <w:r>
        <w:rPr>
          <w:rFonts w:hint="default" w:ascii="Times New Roman" w:hAnsi="Times New Roman" w:cs="Times New Roman"/>
          <w:color w:val="auto"/>
          <w:spacing w:val="56"/>
          <w:kern w:val="18"/>
          <w:sz w:val="44"/>
          <w:szCs w:val="44"/>
        </w:rPr>
        <w:t>国家市场监督管理总局</w:t>
      </w:r>
      <w:r>
        <w:rPr>
          <w:rFonts w:hint="default" w:ascii="Times New Roman" w:hAnsi="Times New Roman" w:eastAsia="黑体" w:cs="Times New Roman"/>
          <w:color w:val="auto"/>
          <w:spacing w:val="56"/>
          <w:sz w:val="32"/>
          <w:szCs w:val="32"/>
        </w:rPr>
        <w:t> </w:t>
      </w:r>
      <w:r>
        <w:rPr>
          <w:rFonts w:hint="default" w:ascii="Times New Roman" w:hAnsi="Times New Roman" w:eastAsia="黑体" w:cs="Times New Roman"/>
          <w:color w:val="auto"/>
          <w:sz w:val="32"/>
          <w:szCs w:val="32"/>
        </w:rPr>
        <w:t>   </w:t>
      </w:r>
      <w:r>
        <w:rPr>
          <w:rFonts w:hint="default" w:ascii="Times New Roman" w:hAnsi="Times New Roman" w:eastAsia="黑体" w:cs="Times New Roman"/>
          <w:color w:val="auto"/>
          <w:sz w:val="28"/>
          <w:szCs w:val="28"/>
        </w:rPr>
        <w:t>发   布</w:t>
      </w:r>
    </w:p>
    <w:p>
      <w:pPr>
        <w:ind w:left="-5" w:leftChars="-2" w:firstLine="5"/>
        <w:rPr>
          <w:rFonts w:hint="default" w:ascii="Times New Roman" w:hAnsi="Times New Roman" w:eastAsia="黑体" w:cs="Times New Roman"/>
          <w:color w:val="auto"/>
          <w:sz w:val="44"/>
          <w:szCs w:val="44"/>
        </w:rPr>
      </w:pPr>
    </w:p>
    <w:p>
      <w:pPr>
        <w:ind w:firstLine="660" w:firstLineChars="150"/>
        <w:rPr>
          <w:rFonts w:hint="default" w:ascii="Times New Roman" w:hAnsi="Times New Roman" w:eastAsia="黑体" w:cs="Times New Roman"/>
          <w:color w:val="auto"/>
          <w:sz w:val="44"/>
          <w:szCs w:val="44"/>
        </w:rPr>
      </w:pPr>
      <w:r>
        <w:rPr>
          <w:rFonts w:hint="default" w:ascii="Times New Roman" w:hAnsi="Times New Roman" w:eastAsia="黑体" w:cs="Times New Roman"/>
          <w:color w:val="auto"/>
          <w:sz w:val="44"/>
          <w:szCs w:val="44"/>
        </w:rPr>
        <mc:AlternateContent>
          <mc:Choice Requires="wps">
            <w:drawing>
              <wp:anchor distT="0" distB="0" distL="114300" distR="114300" simplePos="0" relativeHeight="251661312" behindDoc="0" locked="0" layoutInCell="1" allowOverlap="1">
                <wp:simplePos x="0" y="0"/>
                <wp:positionH relativeFrom="column">
                  <wp:posOffset>3841750</wp:posOffset>
                </wp:positionH>
                <wp:positionV relativeFrom="paragraph">
                  <wp:posOffset>45720</wp:posOffset>
                </wp:positionV>
                <wp:extent cx="2171700" cy="995680"/>
                <wp:effectExtent l="37465" t="38100" r="38735" b="33020"/>
                <wp:wrapNone/>
                <wp:docPr id="217" name="AutoShape 54" descr="___AcroPDFMTS圆角矩形: JJF XXXX-XXXX&#10;"/>
                <wp:cNvGraphicFramePr/>
                <a:graphic xmlns:a="http://schemas.openxmlformats.org/drawingml/2006/main">
                  <a:graphicData uri="http://schemas.microsoft.com/office/word/2010/wordprocessingShape">
                    <wps:wsp>
                      <wps:cNvSpPr>
                        <a:spLocks noChangeArrowheads="1"/>
                      </wps:cNvSpPr>
                      <wps:spPr bwMode="auto">
                        <a:xfrm>
                          <a:off x="0" y="0"/>
                          <a:ext cx="2171700" cy="995680"/>
                        </a:xfrm>
                        <a:prstGeom prst="roundRect">
                          <a:avLst>
                            <a:gd name="adj" fmla="val 16667"/>
                          </a:avLst>
                        </a:prstGeom>
                        <a:noFill/>
                        <a:ln w="63500" cap="rnd">
                          <a:pattFill prst="wave">
                            <a:fgClr>
                              <a:srgbClr val="000000"/>
                            </a:fgClr>
                            <a:bgClr>
                              <a:srgbClr val="FFFFFF"/>
                            </a:bgClr>
                          </a:pattFill>
                          <a:round/>
                        </a:ln>
                      </wps:spPr>
                      <wps:txbx>
                        <w:txbxContent>
                          <w:p>
                            <w:pPr>
                              <w:jc w:val="center"/>
                              <w:rPr>
                                <w:rFonts w:ascii="黑体" w:eastAsia="黑体"/>
                                <w:sz w:val="18"/>
                                <w:szCs w:val="18"/>
                              </w:rPr>
                            </w:pPr>
                          </w:p>
                          <w:p>
                            <w:pPr>
                              <w:jc w:val="center"/>
                              <w:rPr>
                                <w:rFonts w:ascii="黑体" w:eastAsia="黑体"/>
                                <w:sz w:val="28"/>
                                <w:szCs w:val="28"/>
                              </w:rPr>
                            </w:pPr>
                            <w:r>
                              <w:rPr>
                                <w:rFonts w:hint="eastAsia" w:ascii="黑体" w:eastAsia="黑体"/>
                                <w:sz w:val="28"/>
                                <w:szCs w:val="28"/>
                              </w:rPr>
                              <w:t xml:space="preserve">JJF </w:t>
                            </w:r>
                            <w:r>
                              <w:rPr>
                                <w:rFonts w:hint="eastAsia" w:ascii="黑体" w:eastAsia="黑体"/>
                                <w:sz w:val="28"/>
                                <w:szCs w:val="28"/>
                                <w:lang w:val="en-US" w:eastAsia="zh-CN"/>
                              </w:rPr>
                              <w:t>xxxx</w:t>
                            </w:r>
                            <w:r>
                              <w:rPr>
                                <w:rFonts w:hint="eastAsia" w:ascii="黑体" w:eastAsia="黑体"/>
                                <w:sz w:val="28"/>
                                <w:szCs w:val="28"/>
                              </w:rPr>
                              <w:t>-</w:t>
                            </w:r>
                            <w:r>
                              <w:rPr>
                                <w:rFonts w:hint="eastAsia" w:ascii="黑体" w:eastAsia="黑体"/>
                                <w:color w:val="000000"/>
                                <w:sz w:val="28"/>
                                <w:szCs w:val="28"/>
                              </w:rPr>
                              <w:t>202X</w:t>
                            </w:r>
                          </w:p>
                        </w:txbxContent>
                      </wps:txbx>
                      <wps:bodyPr rot="0" vert="horz" wrap="square" lIns="91440" tIns="45720" rIns="91440" bIns="45720" anchor="t" anchorCtr="0" upright="1">
                        <a:noAutofit/>
                      </wps:bodyPr>
                    </wps:wsp>
                  </a:graphicData>
                </a:graphic>
              </wp:anchor>
            </w:drawing>
          </mc:Choice>
          <mc:Fallback>
            <w:pict>
              <v:roundrect id="AutoShape 54" o:spid="_x0000_s1026" o:spt="2" alt="___AcroPDFMTS圆角矩形: JJF XXXX-XXXX&#10;" style="position:absolute;left:0pt;margin-left:302.5pt;margin-top:3.6pt;height:78.4pt;width:171pt;z-index:251661312;mso-width-relative:page;mso-height-relative:page;" filled="f" stroked="t" coordsize="21600,21600" arcsize="0.166666666666667" o:gfxdata="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son2pNcAAAAJAQAADwAAAAAAAAABACAAAAAiAAAAZHJzL2Rvd25yZXYueG1sUEsBAhQA&#10;FAAAAAgAh07iQGKdhaqeAgAABQUAAA4AAAAAAAAAAQAgAAAAJgEAAGRycy9lMm9Eb2MueG1sUEsF&#10;BgAAAAAGAAYAWQEAADYGAAAAAA==&#10;">
                <v:fill on="f" focussize="0,0"/>
                <v:stroke r:id="rId9" weight="5pt" color="#000000" color2="#FFFFFF" joinstyle="round" endcap="round" o:relid="rId9" filltype="pattern"/>
                <v:imagedata o:title=""/>
                <o:lock v:ext="edit" aspectratio="f"/>
                <v:textbox>
                  <w:txbxContent>
                    <w:p>
                      <w:pPr>
                        <w:jc w:val="center"/>
                        <w:rPr>
                          <w:rFonts w:ascii="黑体" w:eastAsia="黑体"/>
                          <w:sz w:val="18"/>
                          <w:szCs w:val="18"/>
                        </w:rPr>
                      </w:pPr>
                    </w:p>
                    <w:p>
                      <w:pPr>
                        <w:jc w:val="center"/>
                        <w:rPr>
                          <w:rFonts w:ascii="黑体" w:eastAsia="黑体"/>
                          <w:sz w:val="28"/>
                          <w:szCs w:val="28"/>
                        </w:rPr>
                      </w:pPr>
                      <w:r>
                        <w:rPr>
                          <w:rFonts w:hint="eastAsia" w:ascii="黑体" w:eastAsia="黑体"/>
                          <w:sz w:val="28"/>
                          <w:szCs w:val="28"/>
                        </w:rPr>
                        <w:t xml:space="preserve">JJF </w:t>
                      </w:r>
                      <w:r>
                        <w:rPr>
                          <w:rFonts w:hint="eastAsia" w:ascii="黑体" w:eastAsia="黑体"/>
                          <w:sz w:val="28"/>
                          <w:szCs w:val="28"/>
                          <w:lang w:val="en-US" w:eastAsia="zh-CN"/>
                        </w:rPr>
                        <w:t>xxxx</w:t>
                      </w:r>
                      <w:r>
                        <w:rPr>
                          <w:rFonts w:hint="eastAsia" w:ascii="黑体" w:eastAsia="黑体"/>
                          <w:sz w:val="28"/>
                          <w:szCs w:val="28"/>
                        </w:rPr>
                        <w:t>-</w:t>
                      </w:r>
                      <w:r>
                        <w:rPr>
                          <w:rFonts w:hint="eastAsia" w:ascii="黑体" w:eastAsia="黑体"/>
                          <w:color w:val="000000"/>
                          <w:sz w:val="28"/>
                          <w:szCs w:val="28"/>
                        </w:rPr>
                        <w:t>202X</w:t>
                      </w:r>
                    </w:p>
                  </w:txbxContent>
                </v:textbox>
              </v:roundrect>
            </w:pict>
          </mc:Fallback>
        </mc:AlternateContent>
      </w:r>
      <w:r>
        <w:rPr>
          <w:rFonts w:hint="default" w:ascii="Times New Roman" w:hAnsi="Times New Roman" w:eastAsia="黑体" w:cs="Times New Roman"/>
          <w:color w:val="auto"/>
          <w:sz w:val="44"/>
          <w:szCs w:val="44"/>
        </w:rPr>
        <w:t>固体剂量计</w:t>
      </w:r>
      <w:r>
        <w:rPr>
          <w:rFonts w:hint="default" w:ascii="Times New Roman" w:hAnsi="Times New Roman" w:eastAsia="黑体" w:cs="Times New Roman"/>
          <w:color w:val="auto"/>
          <w:sz w:val="44"/>
          <w:szCs w:val="44"/>
          <w:lang w:val="en-US" w:eastAsia="zh-CN"/>
        </w:rPr>
        <w:t>邮寄核验</w:t>
      </w:r>
      <w:r>
        <w:rPr>
          <w:rFonts w:hint="default" w:ascii="Times New Roman" w:hAnsi="Times New Roman" w:eastAsia="黑体" w:cs="Times New Roman"/>
          <w:color w:val="auto"/>
          <w:sz w:val="44"/>
          <w:szCs w:val="44"/>
        </w:rPr>
        <w:t>放疗</w:t>
      </w:r>
    </w:p>
    <w:p>
      <w:pPr>
        <w:ind w:firstLine="660" w:firstLineChars="150"/>
        <w:rPr>
          <w:rFonts w:hint="default" w:ascii="Times New Roman" w:hAnsi="Times New Roman" w:eastAsia="黑体" w:cs="Times New Roman"/>
          <w:color w:val="auto"/>
          <w:sz w:val="44"/>
          <w:szCs w:val="44"/>
        </w:rPr>
      </w:pPr>
      <w:r>
        <w:rPr>
          <w:rFonts w:hint="default" w:ascii="Times New Roman" w:hAnsi="Times New Roman" w:eastAsia="黑体" w:cs="Times New Roman"/>
          <w:color w:val="auto"/>
          <w:sz w:val="44"/>
          <w:szCs w:val="44"/>
        </w:rPr>
        <w:t>水吸收剂量</w:t>
      </w:r>
      <w:r>
        <w:rPr>
          <w:rFonts w:hint="default" w:ascii="Times New Roman" w:hAnsi="Times New Roman" w:eastAsia="黑体" w:cs="Times New Roman"/>
          <w:color w:val="auto"/>
          <w:sz w:val="44"/>
          <w:szCs w:val="44"/>
          <w:lang w:val="en-US" w:eastAsia="zh-CN"/>
        </w:rPr>
        <w:t>校准</w:t>
      </w:r>
      <w:r>
        <w:rPr>
          <w:rFonts w:hint="default" w:ascii="Times New Roman" w:hAnsi="Times New Roman" w:eastAsia="黑体" w:cs="Times New Roman"/>
          <w:color w:val="auto"/>
          <w:sz w:val="44"/>
          <w:szCs w:val="44"/>
        </w:rPr>
        <w:t>规范</w:t>
      </w:r>
    </w:p>
    <w:p>
      <w:pPr>
        <w:rPr>
          <w:rFonts w:hint="default" w:ascii="Times New Roman" w:hAnsi="Times New Roman" w:eastAsia="黑体" w:cs="Times New Roman"/>
          <w:color w:val="auto"/>
          <w:kern w:val="0"/>
          <w:sz w:val="28"/>
        </w:rPr>
      </w:pPr>
      <w:r>
        <w:rPr>
          <w:rFonts w:hint="default" w:ascii="Times New Roman" w:hAnsi="Times New Roman" w:eastAsia="黑体" w:cs="Times New Roman"/>
          <w:color w:val="auto"/>
          <w:kern w:val="0"/>
          <w:sz w:val="28"/>
        </w:rPr>
        <w:t>Calibration Specification</w:t>
      </w:r>
      <w:r>
        <w:rPr>
          <w:rFonts w:hint="default" w:ascii="Times New Roman" w:hAnsi="Times New Roman" w:eastAsia="黑体" w:cs="Times New Roman"/>
          <w:color w:val="auto"/>
          <w:kern w:val="0"/>
          <w:sz w:val="28"/>
          <w:lang w:val="en-US" w:eastAsia="zh-CN"/>
        </w:rPr>
        <w:t xml:space="preserve"> </w:t>
      </w:r>
      <w:r>
        <w:rPr>
          <w:rFonts w:hint="default" w:ascii="Times New Roman" w:hAnsi="Times New Roman" w:eastAsia="黑体" w:cs="Times New Roman"/>
          <w:color w:val="auto"/>
          <w:kern w:val="0"/>
          <w:sz w:val="28"/>
        </w:rPr>
        <w:t xml:space="preserve">for </w:t>
      </w:r>
      <w:r>
        <w:rPr>
          <w:rFonts w:hint="default" w:ascii="Times New Roman" w:hAnsi="Times New Roman" w:eastAsia="黑体" w:cs="Times New Roman"/>
          <w:color w:val="auto"/>
          <w:kern w:val="0"/>
          <w:sz w:val="28"/>
          <w:lang w:val="en-US" w:eastAsia="zh-CN"/>
        </w:rPr>
        <w:t>V</w:t>
      </w:r>
      <w:r>
        <w:rPr>
          <w:rFonts w:hint="default" w:ascii="Times New Roman" w:hAnsi="Times New Roman" w:eastAsia="黑体" w:cs="Times New Roman"/>
          <w:color w:val="auto"/>
          <w:kern w:val="0"/>
          <w:sz w:val="28"/>
        </w:rPr>
        <w:t>erifying the</w:t>
      </w:r>
    </w:p>
    <w:p>
      <w:pPr>
        <w:rPr>
          <w:rFonts w:hint="default" w:ascii="Times New Roman" w:hAnsi="Times New Roman" w:eastAsia="黑体" w:cs="Times New Roman"/>
          <w:color w:val="auto"/>
          <w:kern w:val="0"/>
          <w:sz w:val="28"/>
        </w:rPr>
      </w:pP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A</w:t>
      </w:r>
      <w:r>
        <w:rPr>
          <w:rFonts w:hint="default" w:ascii="Times New Roman" w:hAnsi="Times New Roman" w:eastAsia="黑体" w:cs="Times New Roman"/>
          <w:color w:val="auto"/>
          <w:kern w:val="0"/>
          <w:sz w:val="28"/>
        </w:rPr>
        <w:t xml:space="preserve">bsorbed </w:t>
      </w:r>
      <w:r>
        <w:rPr>
          <w:rFonts w:hint="default" w:ascii="Times New Roman" w:hAnsi="Times New Roman" w:eastAsia="黑体" w:cs="Times New Roman"/>
          <w:color w:val="auto"/>
          <w:kern w:val="0"/>
          <w:sz w:val="28"/>
          <w:lang w:val="en-US" w:eastAsia="zh-CN"/>
        </w:rPr>
        <w:t>D</w:t>
      </w:r>
      <w:r>
        <w:rPr>
          <w:rFonts w:hint="default" w:ascii="Times New Roman" w:hAnsi="Times New Roman" w:eastAsia="黑体" w:cs="Times New Roman"/>
          <w:color w:val="auto"/>
          <w:kern w:val="0"/>
          <w:sz w:val="28"/>
        </w:rPr>
        <w:t xml:space="preserve">ose </w:t>
      </w:r>
      <w:r>
        <w:rPr>
          <w:rFonts w:hint="default" w:ascii="Times New Roman" w:hAnsi="Times New Roman" w:eastAsia="黑体" w:cs="Times New Roman"/>
          <w:color w:val="auto"/>
          <w:kern w:val="0"/>
          <w:sz w:val="28"/>
          <w:lang w:val="en-US" w:eastAsia="zh-CN"/>
        </w:rPr>
        <w:t>to W</w:t>
      </w:r>
      <w:r>
        <w:rPr>
          <w:rFonts w:hint="default" w:ascii="Times New Roman" w:hAnsi="Times New Roman" w:eastAsia="黑体" w:cs="Times New Roman"/>
          <w:color w:val="auto"/>
          <w:kern w:val="0"/>
          <w:sz w:val="28"/>
        </w:rPr>
        <w:t xml:space="preserve">ater </w:t>
      </w:r>
      <w:r>
        <w:rPr>
          <w:rFonts w:hint="default" w:ascii="Times New Roman" w:hAnsi="Times New Roman" w:eastAsia="黑体" w:cs="Times New Roman"/>
          <w:color w:val="auto"/>
          <w:kern w:val="0"/>
          <w:sz w:val="28"/>
          <w:lang w:val="en-US" w:eastAsia="zh-CN"/>
        </w:rPr>
        <w:t>of</w:t>
      </w: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R</w:t>
      </w:r>
      <w:r>
        <w:rPr>
          <w:rFonts w:hint="default" w:ascii="Times New Roman" w:hAnsi="Times New Roman" w:eastAsia="黑体" w:cs="Times New Roman"/>
          <w:color w:val="auto"/>
          <w:kern w:val="0"/>
          <w:sz w:val="28"/>
        </w:rPr>
        <w:t xml:space="preserve">adiotherapy by </w:t>
      </w:r>
      <w:r>
        <w:rPr>
          <w:rFonts w:hint="default" w:ascii="Times New Roman" w:hAnsi="Times New Roman" w:eastAsia="黑体" w:cs="Times New Roman"/>
          <w:color w:val="auto"/>
          <w:kern w:val="0"/>
          <w:sz w:val="28"/>
          <w:lang w:val="en-US" w:eastAsia="zh-CN"/>
        </w:rPr>
        <w:t>M</w:t>
      </w:r>
      <w:r>
        <w:rPr>
          <w:rFonts w:hint="default" w:ascii="Times New Roman" w:hAnsi="Times New Roman" w:eastAsia="黑体" w:cs="Times New Roman"/>
          <w:color w:val="auto"/>
          <w:kern w:val="0"/>
          <w:sz w:val="28"/>
        </w:rPr>
        <w:t>ail</w:t>
      </w:r>
      <w:r>
        <w:rPr>
          <w:rFonts w:hint="default" w:ascii="Times New Roman" w:hAnsi="Times New Roman" w:eastAsia="黑体" w:cs="Times New Roman"/>
          <w:color w:val="auto"/>
          <w:kern w:val="0"/>
          <w:sz w:val="28"/>
          <w:lang w:val="en-US" w:eastAsia="zh-CN"/>
        </w:rPr>
        <w:t>ing</w:t>
      </w: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S</w:t>
      </w:r>
      <w:r>
        <w:rPr>
          <w:rFonts w:hint="default" w:ascii="Times New Roman" w:hAnsi="Times New Roman" w:eastAsia="黑体" w:cs="Times New Roman"/>
          <w:color w:val="auto"/>
          <w:kern w:val="0"/>
          <w:sz w:val="28"/>
        </w:rPr>
        <w:t>olid</w:t>
      </w:r>
      <w:r>
        <w:rPr>
          <w:rFonts w:hint="default" w:ascii="Times New Roman" w:hAnsi="Times New Roman" w:eastAsia="黑体" w:cs="Times New Roman"/>
          <w:color w:val="auto"/>
          <w:kern w:val="0"/>
          <w:sz w:val="28"/>
          <w:lang w:val="en-US" w:eastAsia="zh-CN"/>
        </w:rPr>
        <w:t xml:space="preserve"> State</w:t>
      </w:r>
      <w:r>
        <w:rPr>
          <w:rFonts w:hint="default" w:ascii="Times New Roman" w:hAnsi="Times New Roman" w:eastAsia="黑体" w:cs="Times New Roman"/>
          <w:color w:val="auto"/>
          <w:kern w:val="0"/>
          <w:sz w:val="28"/>
        </w:rPr>
        <w:t xml:space="preserve"> </w:t>
      </w:r>
      <w:r>
        <w:rPr>
          <w:rFonts w:hint="default" w:ascii="Times New Roman" w:hAnsi="Times New Roman" w:eastAsia="黑体" w:cs="Times New Roman"/>
          <w:color w:val="auto"/>
          <w:kern w:val="0"/>
          <w:sz w:val="28"/>
          <w:lang w:val="en-US" w:eastAsia="zh-CN"/>
        </w:rPr>
        <w:t>D</w:t>
      </w:r>
      <w:r>
        <w:rPr>
          <w:rFonts w:hint="default" w:ascii="Times New Roman" w:hAnsi="Times New Roman" w:eastAsia="黑体" w:cs="Times New Roman"/>
          <w:color w:val="auto"/>
          <w:kern w:val="0"/>
          <w:sz w:val="28"/>
        </w:rPr>
        <w:t xml:space="preserve">osimeters </w:t>
      </w:r>
    </w:p>
    <w:p>
      <w:pPr>
        <w:rPr>
          <w:rFonts w:hint="default" w:ascii="Times New Roman" w:hAnsi="Times New Roman" w:cs="Times New Roman"/>
          <w:color w:val="auto"/>
        </w:rPr>
      </w:pPr>
      <w:r>
        <w:rPr>
          <w:rFonts w:hint="default" w:ascii="Times New Roman" w:hAnsi="Times New Roman" w:cs="Times New Roman"/>
          <w:color w:val="auto"/>
        </w:rPr>
        <mc:AlternateContent>
          <mc:Choice Requires="wps">
            <w:drawing>
              <wp:anchor distT="0" distB="0" distL="114300" distR="114300" simplePos="0" relativeHeight="251663360" behindDoc="0" locked="0" layoutInCell="1" allowOverlap="1">
                <wp:simplePos x="0" y="0"/>
                <wp:positionH relativeFrom="column">
                  <wp:posOffset>-7620</wp:posOffset>
                </wp:positionH>
                <wp:positionV relativeFrom="paragraph">
                  <wp:posOffset>34290</wp:posOffset>
                </wp:positionV>
                <wp:extent cx="6093460" cy="2540"/>
                <wp:effectExtent l="17145" t="11430" r="13970" b="14605"/>
                <wp:wrapNone/>
                <wp:docPr id="216" name="AutoShape 57"/>
                <wp:cNvGraphicFramePr/>
                <a:graphic xmlns:a="http://schemas.openxmlformats.org/drawingml/2006/main">
                  <a:graphicData uri="http://schemas.microsoft.com/office/word/2010/wordprocessingShape">
                    <wps:wsp>
                      <wps:cNvCnPr>
                        <a:cxnSpLocks noChangeShapeType="1"/>
                      </wps:cNvCnPr>
                      <wps:spPr bwMode="auto">
                        <a:xfrm flipV="1">
                          <a:off x="0" y="0"/>
                          <a:ext cx="6093460" cy="2540"/>
                        </a:xfrm>
                        <a:prstGeom prst="straightConnector1">
                          <a:avLst/>
                        </a:prstGeom>
                        <a:noFill/>
                        <a:ln w="19050">
                          <a:solidFill>
                            <a:srgbClr val="000000"/>
                          </a:solidFill>
                          <a:round/>
                        </a:ln>
                      </wps:spPr>
                      <wps:bodyPr/>
                    </wps:wsp>
                  </a:graphicData>
                </a:graphic>
              </wp:anchor>
            </w:drawing>
          </mc:Choice>
          <mc:Fallback>
            <w:pict>
              <v:shape id="AutoShape 57" o:spid="_x0000_s1026" o:spt="32" type="#_x0000_t32" style="position:absolute;left:0pt;flip:y;margin-left:-0.6pt;margin-top:2.7pt;height:0.2pt;width:479.8pt;z-index:251663360;mso-width-relative:page;mso-height-relative:page;" filled="f" stroked="t" coordsize="21600,21600" o:gfxdata="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mDPE9YAAAAGAQAA&#10;DwAAAAAAAAABACAAAAAiAAAAZHJzL2Rvd25yZXYueG1sUEsBAhQAFAAAAAgAh07iQEr7Bd3iAQAA&#10;wwMAAA4AAAAAAAAAAQAgAAAAJQEAAGRycy9lMm9Eb2MueG1sUEsFBgAAAAAGAAYAWQEAAHkFAAAA&#10;AA==&#10;">
                <v:fill on="f" focussize="0,0"/>
                <v:stroke weight="1.5pt" color="#000000" joinstyle="round"/>
                <v:imagedata o:title=""/>
                <o:lock v:ext="edit" aspectratio="f"/>
              </v:shape>
            </w:pict>
          </mc:Fallback>
        </mc:AlternateContent>
      </w:r>
    </w:p>
    <w:p>
      <w:pPr>
        <w:tabs>
          <w:tab w:val="left" w:pos="1095"/>
        </w:tabs>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rPr>
        <w:t xml:space="preserve"> </w:t>
      </w:r>
      <w:r>
        <w:rPr>
          <w:rFonts w:hint="default" w:ascii="Times New Roman" w:hAnsi="Times New Roman" w:cs="Times New Roman"/>
          <w:color w:val="auto"/>
        </w:rPr>
        <w:tab/>
      </w:r>
    </w:p>
    <w:p>
      <w:pPr>
        <w:spacing w:line="360" w:lineRule="auto"/>
        <w:ind w:firstLine="480" w:firstLineChars="200"/>
        <w:rPr>
          <w:rFonts w:hint="default" w:ascii="Times New Roman" w:hAnsi="Times New Roman" w:cs="Times New Roman"/>
          <w:color w:val="auto"/>
        </w:rPr>
      </w:pPr>
    </w:p>
    <w:p>
      <w:pPr>
        <w:spacing w:line="360" w:lineRule="auto"/>
        <w:ind w:firstLine="560" w:firstLineChars="200"/>
        <w:rPr>
          <w:rFonts w:hint="default" w:ascii="Times New Roman" w:hAnsi="Times New Roman" w:cs="Times New Roman"/>
          <w:color w:val="auto"/>
          <w:sz w:val="28"/>
          <w:szCs w:val="28"/>
        </w:rPr>
      </w:pPr>
    </w:p>
    <w:p>
      <w:pPr>
        <w:ind w:left="70"/>
        <w:rPr>
          <w:rFonts w:hint="default" w:ascii="Times New Roman" w:hAnsi="Times New Roman" w:eastAsia="黑体" w:cs="Times New Roman"/>
          <w:color w:val="auto"/>
          <w:sz w:val="28"/>
          <w:szCs w:val="28"/>
        </w:rPr>
      </w:pPr>
    </w:p>
    <w:p>
      <w:pPr>
        <w:ind w:left="70"/>
        <w:rPr>
          <w:rFonts w:hint="default" w:ascii="Times New Roman" w:hAnsi="Times New Roman" w:eastAsia="黑体" w:cs="Times New Roman"/>
          <w:color w:val="auto"/>
          <w:sz w:val="28"/>
          <w:szCs w:val="28"/>
        </w:rPr>
      </w:pPr>
    </w:p>
    <w:p>
      <w:pPr>
        <w:ind w:left="70"/>
        <w:rPr>
          <w:rFonts w:hint="default" w:ascii="Times New Roman" w:hAnsi="Times New Roman" w:eastAsia="黑体" w:cs="Times New Roman"/>
          <w:color w:val="auto"/>
          <w:sz w:val="28"/>
          <w:szCs w:val="28"/>
        </w:rPr>
      </w:pPr>
    </w:p>
    <w:p>
      <w:pPr>
        <w:ind w:left="7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 xml:space="preserve">       </w:t>
      </w:r>
      <w:r>
        <w:rPr>
          <w:rFonts w:hint="default" w:ascii="Times New Roman" w:hAnsi="Times New Roman" w:eastAsia="黑体" w:cs="Times New Roman"/>
          <w:b/>
          <w:color w:val="auto"/>
          <w:sz w:val="28"/>
          <w:szCs w:val="28"/>
        </w:rPr>
        <w:t xml:space="preserve"> </w:t>
      </w:r>
      <w:r>
        <w:rPr>
          <w:rFonts w:hint="default" w:ascii="Times New Roman" w:hAnsi="Times New Roman" w:eastAsia="黑体" w:cs="Times New Roman"/>
          <w:color w:val="auto"/>
          <w:spacing w:val="80"/>
          <w:kern w:val="10"/>
          <w:sz w:val="28"/>
          <w:szCs w:val="28"/>
        </w:rPr>
        <w:t>归口单</w:t>
      </w:r>
      <w:r>
        <w:rPr>
          <w:rFonts w:hint="default" w:ascii="Times New Roman" w:hAnsi="Times New Roman" w:eastAsia="黑体" w:cs="Times New Roman"/>
          <w:color w:val="auto"/>
          <w:sz w:val="28"/>
          <w:szCs w:val="28"/>
        </w:rPr>
        <w:t>位：</w:t>
      </w:r>
      <w:r>
        <w:rPr>
          <w:rFonts w:hint="default" w:ascii="Times New Roman" w:hAnsi="Times New Roman" w:cs="Times New Roman"/>
          <w:color w:val="auto"/>
          <w:sz w:val="28"/>
          <w:szCs w:val="28"/>
        </w:rPr>
        <w:t>全国电离辐射计量技术委员会</w:t>
      </w:r>
    </w:p>
    <w:p>
      <w:pPr>
        <w:ind w:firstLine="1167" w:firstLineChars="417"/>
        <w:rPr>
          <w:rFonts w:hint="default" w:ascii="Times New Roman" w:hAnsi="Times New Roman" w:eastAsia="宋体" w:cs="Times New Roman"/>
          <w:color w:val="auto"/>
          <w:sz w:val="28"/>
          <w:szCs w:val="28"/>
          <w:lang w:val="en-US" w:eastAsia="zh-CN"/>
        </w:rPr>
      </w:pPr>
      <w:r>
        <w:rPr>
          <w:rFonts w:hint="default" w:ascii="Times New Roman" w:hAnsi="Times New Roman" w:eastAsia="黑体" w:cs="Times New Roman"/>
          <w:color w:val="auto"/>
          <w:sz w:val="28"/>
          <w:szCs w:val="28"/>
        </w:rPr>
        <w:t>主要起草单位：</w:t>
      </w:r>
      <w:r>
        <w:rPr>
          <w:rFonts w:hint="default" w:ascii="Times New Roman" w:hAnsi="Times New Roman" w:cs="Times New Roman"/>
          <w:color w:val="auto"/>
          <w:sz w:val="28"/>
          <w:szCs w:val="28"/>
        </w:rPr>
        <w:t>中国</w:t>
      </w:r>
      <w:r>
        <w:rPr>
          <w:rFonts w:hint="default" w:ascii="Times New Roman" w:hAnsi="Times New Roman" w:cs="Times New Roman"/>
          <w:color w:val="auto"/>
          <w:sz w:val="28"/>
          <w:szCs w:val="28"/>
          <w:lang w:val="en-US" w:eastAsia="zh-CN"/>
        </w:rPr>
        <w:t>计量科学研究院</w:t>
      </w:r>
    </w:p>
    <w:p>
      <w:pPr>
        <w:keepNext w:val="0"/>
        <w:keepLines w:val="0"/>
        <w:pageBreakBefore w:val="0"/>
        <w:widowControl w:val="0"/>
        <w:kinsoku/>
        <w:wordWrap/>
        <w:overflowPunct/>
        <w:topLinePunct w:val="0"/>
        <w:autoSpaceDE/>
        <w:autoSpaceDN/>
        <w:bidi w:val="0"/>
        <w:adjustRightInd/>
        <w:snapToGrid/>
        <w:ind w:firstLine="3080" w:firstLineChars="1100"/>
        <w:textAlignment w:val="auto"/>
        <w:outlineLvl w:val="9"/>
        <w:rPr>
          <w:rFonts w:hint="default" w:ascii="Times New Roman" w:hAnsi="Times New Roman" w:cs="Times New Roman"/>
          <w:color w:val="auto"/>
          <w:sz w:val="28"/>
          <w:szCs w:val="28"/>
        </w:rPr>
      </w:pPr>
      <w:bookmarkStart w:id="1" w:name="_Toc8632"/>
      <w:r>
        <w:rPr>
          <w:rFonts w:hint="default" w:ascii="Times New Roman" w:hAnsi="Times New Roman" w:cs="Times New Roman"/>
          <w:color w:val="auto"/>
          <w:sz w:val="28"/>
          <w:szCs w:val="28"/>
        </w:rPr>
        <w:t>中国疾控中心辐射安全所</w:t>
      </w:r>
      <w:bookmarkEnd w:id="1"/>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ind w:firstLine="3080" w:firstLineChars="11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　</w:t>
      </w:r>
    </w:p>
    <w:p>
      <w:pPr>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800100</wp:posOffset>
                </wp:positionH>
                <wp:positionV relativeFrom="paragraph">
                  <wp:posOffset>175260</wp:posOffset>
                </wp:positionV>
                <wp:extent cx="4427855" cy="487680"/>
                <wp:effectExtent l="11430" t="9525" r="8890" b="7620"/>
                <wp:wrapNone/>
                <wp:docPr id="215" name="Text Box 55"/>
                <wp:cNvGraphicFramePr/>
                <a:graphic xmlns:a="http://schemas.openxmlformats.org/drawingml/2006/main">
                  <a:graphicData uri="http://schemas.microsoft.com/office/word/2010/wordprocessingShape">
                    <wps:wsp>
                      <wps:cNvSpPr txBox="1">
                        <a:spLocks noChangeArrowheads="1"/>
                      </wps:cNvSpPr>
                      <wps:spPr bwMode="auto">
                        <a:xfrm>
                          <a:off x="0" y="0"/>
                          <a:ext cx="4427855" cy="487680"/>
                        </a:xfrm>
                        <a:prstGeom prst="rect">
                          <a:avLst/>
                        </a:prstGeom>
                        <a:solidFill>
                          <a:srgbClr val="FFFFFF"/>
                        </a:solidFill>
                        <a:ln w="0">
                          <a:solidFill>
                            <a:srgbClr val="FFFFFF"/>
                          </a:solidFill>
                          <a:miter lim="800000"/>
                        </a:ln>
                      </wps:spPr>
                      <wps:txbx>
                        <w:txbxContent>
                          <w:p>
                            <w:pPr>
                              <w:rPr>
                                <w:rFonts w:ascii="宋体" w:hAnsi="宋体"/>
                                <w:color w:val="000000"/>
                                <w:sz w:val="28"/>
                                <w:szCs w:val="28"/>
                              </w:rPr>
                            </w:pPr>
                            <w:r>
                              <w:rPr>
                                <w:rFonts w:hint="eastAsia" w:ascii="宋体" w:hAnsi="宋体"/>
                                <w:color w:val="000000"/>
                                <w:sz w:val="28"/>
                                <w:szCs w:val="28"/>
                              </w:rPr>
                              <w:t>本规范委托全国电离辐射计量技术委员会负责解释</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55" o:spid="_x0000_s1026" o:spt="202" type="#_x0000_t202" style="position:absolute;left:0pt;margin-left:63pt;margin-top:13.8pt;height:38.4pt;width:348.65pt;z-index:251662336;mso-width-relative:page;mso-height-relative:margin;mso-height-percent:200;" fillcolor="#FFFFFF" filled="t" stroked="t" coordsize="21600,21600" o:gfxdata="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ceYKf2AAAAAoBAAAPAAAAAAAAAAEAIAAAACIAAABkcnMvZG93bnJldi54bWxQSwECFAAU&#10;AAAACACHTuJAVAS77yoCAACGBAAADgAAAAAAAAABACAAAAAnAQAAZHJzL2Uyb0RvYy54bWxQSwUG&#10;AAAAAAYABgBZAQAAwwUAAAAA&#10;">
                <v:fill on="t" focussize="0,0"/>
                <v:stroke weight="0pt" color="#FFFFFF" miterlimit="8" joinstyle="miter"/>
                <v:imagedata o:title=""/>
                <o:lock v:ext="edit" aspectratio="f"/>
                <v:textbox style="mso-fit-shape-to-text:t;">
                  <w:txbxContent>
                    <w:p>
                      <w:pPr>
                        <w:rPr>
                          <w:rFonts w:ascii="宋体" w:hAnsi="宋体"/>
                          <w:color w:val="000000"/>
                          <w:sz w:val="28"/>
                          <w:szCs w:val="28"/>
                        </w:rPr>
                      </w:pPr>
                      <w:r>
                        <w:rPr>
                          <w:rFonts w:hint="eastAsia" w:ascii="宋体" w:hAnsi="宋体"/>
                          <w:color w:val="000000"/>
                          <w:sz w:val="28"/>
                          <w:szCs w:val="28"/>
                        </w:rPr>
                        <w:t>本规范委托全国电离辐射计量技术委员会负责解释</w:t>
                      </w:r>
                    </w:p>
                  </w:txbxContent>
                </v:textbox>
              </v:shape>
            </w:pict>
          </mc:Fallback>
        </mc:AlternateContent>
      </w:r>
    </w:p>
    <w:p>
      <w:pPr>
        <w:rPr>
          <w:rFonts w:hint="default" w:ascii="Times New Roman" w:hAnsi="Times New Roman" w:eastAsia="黑体" w:cs="Times New Roman"/>
          <w:color w:val="auto"/>
          <w:sz w:val="28"/>
          <w:szCs w:val="28"/>
        </w:rPr>
      </w:pPr>
      <w:r>
        <w:rPr>
          <w:rFonts w:hint="default" w:ascii="Times New Roman" w:hAnsi="Times New Roman" w:cs="Times New Roman"/>
          <w:color w:val="auto"/>
        </w:rPr>
        <w:br w:type="page"/>
      </w:r>
      <w:r>
        <w:rPr>
          <w:rFonts w:hint="default" w:ascii="Times New Roman" w:hAnsi="Times New Roman" w:cs="Times New Roman"/>
          <w:color w:val="auto"/>
        </w:rPr>
        <w:t xml:space="preserve">     　</w:t>
      </w:r>
      <w:r>
        <w:rPr>
          <w:rFonts w:hint="default" w:ascii="Times New Roman" w:hAnsi="Times New Roman" w:eastAsia="黑体" w:cs="Times New Roman"/>
          <w:color w:val="auto"/>
          <w:sz w:val="28"/>
          <w:szCs w:val="28"/>
        </w:rPr>
        <w:t>本规范主要起草人：</w:t>
      </w:r>
    </w:p>
    <w:p>
      <w:pPr>
        <w:ind w:firstLine="2270" w:firstLineChars="811"/>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王</w:t>
      </w:r>
      <w:r>
        <w:rPr>
          <w:rFonts w:hint="default" w:ascii="Times New Roman" w:hAnsi="Times New Roman" w:cs="Times New Roman"/>
          <w:color w:val="auto"/>
          <w:sz w:val="28"/>
          <w:szCs w:val="28"/>
        </w:rPr>
        <w:t>　</w:t>
      </w:r>
      <w:r>
        <w:rPr>
          <w:rFonts w:hint="default" w:ascii="Times New Roman" w:hAnsi="Times New Roman" w:cs="Times New Roman"/>
          <w:color w:val="auto"/>
          <w:sz w:val="28"/>
          <w:szCs w:val="28"/>
          <w:lang w:val="en-US" w:eastAsia="zh-CN"/>
        </w:rPr>
        <w:t>坤</w:t>
      </w:r>
      <w:r>
        <w:rPr>
          <w:rFonts w:hint="default" w:ascii="Times New Roman" w:hAnsi="Times New Roman" w:cs="Times New Roman"/>
          <w:color w:val="auto"/>
          <w:sz w:val="28"/>
          <w:szCs w:val="28"/>
        </w:rPr>
        <w:t>（中国</w:t>
      </w:r>
      <w:r>
        <w:rPr>
          <w:rFonts w:hint="default" w:ascii="Times New Roman" w:hAnsi="Times New Roman" w:cs="Times New Roman"/>
          <w:color w:val="auto"/>
          <w:sz w:val="28"/>
          <w:szCs w:val="28"/>
          <w:lang w:val="en-US" w:eastAsia="zh-CN"/>
        </w:rPr>
        <w:t>计量科学研究院</w:t>
      </w:r>
      <w:r>
        <w:rPr>
          <w:rFonts w:hint="default" w:ascii="Times New Roman" w:hAnsi="Times New Roman" w:cs="Times New Roman"/>
          <w:color w:val="auto"/>
          <w:sz w:val="28"/>
          <w:szCs w:val="28"/>
        </w:rPr>
        <w:t>）</w:t>
      </w:r>
    </w:p>
    <w:p>
      <w:pPr>
        <w:ind w:firstLine="2270" w:firstLineChars="811"/>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王志鹏</w:t>
      </w:r>
      <w:r>
        <w:rPr>
          <w:rFonts w:hint="default" w:ascii="Times New Roman" w:hAnsi="Times New Roman" w:cs="Times New Roman"/>
          <w:color w:val="auto"/>
          <w:sz w:val="28"/>
          <w:szCs w:val="28"/>
        </w:rPr>
        <w:t>（中国</w:t>
      </w:r>
      <w:r>
        <w:rPr>
          <w:rFonts w:hint="default" w:ascii="Times New Roman" w:hAnsi="Times New Roman" w:cs="Times New Roman"/>
          <w:color w:val="auto"/>
          <w:sz w:val="28"/>
          <w:szCs w:val="28"/>
          <w:lang w:val="en-US" w:eastAsia="zh-CN"/>
        </w:rPr>
        <w:t>计量科学研究院</w:t>
      </w:r>
      <w:r>
        <w:rPr>
          <w:rFonts w:hint="default" w:ascii="Times New Roman" w:hAnsi="Times New Roman" w:cs="Times New Roman"/>
          <w:color w:val="auto"/>
          <w:sz w:val="28"/>
          <w:szCs w:val="28"/>
        </w:rPr>
        <w:t>）</w:t>
      </w:r>
    </w:p>
    <w:p>
      <w:pPr>
        <w:ind w:firstLine="2270" w:firstLineChars="811"/>
        <w:rPr>
          <w:rFonts w:hint="default" w:ascii="Times New Roman" w:hAnsi="Times New Roman" w:eastAsia="黑体" w:cs="Times New Roman"/>
          <w:color w:val="auto"/>
          <w:sz w:val="28"/>
          <w:szCs w:val="28"/>
        </w:rPr>
      </w:pPr>
      <w:r>
        <w:rPr>
          <w:rFonts w:hint="default" w:ascii="Times New Roman" w:hAnsi="Times New Roman" w:cs="Times New Roman"/>
          <w:color w:val="auto"/>
          <w:sz w:val="28"/>
          <w:szCs w:val="28"/>
          <w:lang w:val="en-US" w:eastAsia="zh-CN"/>
        </w:rPr>
        <w:t>袁继龙</w:t>
      </w:r>
      <w:r>
        <w:rPr>
          <w:rFonts w:hint="default" w:ascii="Times New Roman" w:hAnsi="Times New Roman" w:cs="Times New Roman"/>
          <w:color w:val="auto"/>
          <w:sz w:val="28"/>
          <w:szCs w:val="28"/>
        </w:rPr>
        <w:t>（中国疾控中心辐射安全所）</w:t>
      </w:r>
    </w:p>
    <w:p>
      <w:pPr>
        <w:jc w:val="left"/>
        <w:rPr>
          <w:rFonts w:hint="default" w:ascii="Times New Roman" w:hAnsi="Times New Roman" w:eastAsia="黑体" w:cs="Times New Roman"/>
          <w:b/>
          <w:bCs/>
          <w:color w:val="auto"/>
          <w:sz w:val="28"/>
        </w:rPr>
      </w:pPr>
    </w:p>
    <w:p>
      <w:pPr>
        <w:ind w:firstLine="1514" w:firstLineChars="541"/>
        <w:jc w:val="left"/>
        <w:rPr>
          <w:rFonts w:hint="default" w:ascii="Times New Roman" w:hAnsi="Times New Roman" w:eastAsia="黑体" w:cs="Times New Roman"/>
          <w:bCs/>
          <w:color w:val="auto"/>
          <w:sz w:val="28"/>
        </w:rPr>
      </w:pPr>
      <w:r>
        <w:rPr>
          <w:rFonts w:hint="default" w:ascii="Times New Roman" w:hAnsi="Times New Roman" w:eastAsia="黑体" w:cs="Times New Roman"/>
          <w:bCs/>
          <w:color w:val="auto"/>
          <w:sz w:val="28"/>
        </w:rPr>
        <w:t>参加起草人：</w:t>
      </w:r>
    </w:p>
    <w:p>
      <w:pPr>
        <w:keepNext w:val="0"/>
        <w:keepLines w:val="0"/>
        <w:pageBreakBefore w:val="0"/>
        <w:widowControl w:val="0"/>
        <w:kinsoku/>
        <w:wordWrap/>
        <w:overflowPunct/>
        <w:topLinePunct w:val="0"/>
        <w:autoSpaceDE/>
        <w:autoSpaceDN/>
        <w:bidi w:val="0"/>
        <w:adjustRightInd/>
        <w:snapToGrid/>
        <w:ind w:left="1820" w:firstLine="420"/>
        <w:textAlignment w:val="auto"/>
        <w:outlineLvl w:val="9"/>
        <w:rPr>
          <w:rFonts w:hint="default" w:ascii="Times New Roman" w:hAnsi="Times New Roman" w:cs="Times New Roman"/>
          <w:color w:val="auto"/>
          <w:sz w:val="28"/>
          <w:szCs w:val="28"/>
        </w:rPr>
      </w:pPr>
      <w:bookmarkStart w:id="2" w:name="_Toc3845"/>
      <w:r>
        <w:rPr>
          <w:rFonts w:hint="eastAsia" w:cs="Times New Roman"/>
          <w:color w:val="auto"/>
          <w:sz w:val="28"/>
          <w:szCs w:val="28"/>
          <w:lang w:val="en-US" w:eastAsia="zh-CN"/>
        </w:rPr>
        <w:t>李德红</w:t>
      </w:r>
      <w:r>
        <w:rPr>
          <w:rFonts w:hint="default" w:ascii="Times New Roman" w:hAnsi="Times New Roman" w:cs="Times New Roman"/>
          <w:color w:val="auto"/>
          <w:sz w:val="28"/>
          <w:szCs w:val="28"/>
        </w:rPr>
        <w:t>（中国</w:t>
      </w:r>
      <w:r>
        <w:rPr>
          <w:rFonts w:hint="default" w:ascii="Times New Roman" w:hAnsi="Times New Roman" w:cs="Times New Roman"/>
          <w:color w:val="auto"/>
          <w:sz w:val="28"/>
          <w:szCs w:val="28"/>
          <w:lang w:val="en-US" w:eastAsia="zh-CN"/>
        </w:rPr>
        <w:t>计量科学研究院</w:t>
      </w:r>
      <w:r>
        <w:rPr>
          <w:rFonts w:hint="default" w:ascii="Times New Roman" w:hAnsi="Times New Roman" w:cs="Times New Roman"/>
          <w:color w:val="auto"/>
          <w:sz w:val="28"/>
          <w:szCs w:val="28"/>
        </w:rPr>
        <w:t>）</w:t>
      </w:r>
      <w:bookmarkEnd w:id="2"/>
    </w:p>
    <w:p>
      <w:pPr>
        <w:ind w:firstLine="2270" w:firstLineChars="811"/>
        <w:rPr>
          <w:rFonts w:hint="default" w:ascii="Times New Roman" w:hAnsi="Times New Roman" w:cs="Times New Roman"/>
          <w:color w:val="auto"/>
          <w:sz w:val="28"/>
          <w:szCs w:val="28"/>
        </w:rPr>
      </w:pPr>
      <w:r>
        <w:rPr>
          <w:rFonts w:hint="default" w:ascii="Times New Roman" w:hAnsi="Times New Roman" w:cs="Times New Roman"/>
          <w:color w:val="auto"/>
          <w:sz w:val="28"/>
          <w:szCs w:val="28"/>
          <w:lang w:val="en-US" w:eastAsia="zh-CN"/>
        </w:rPr>
        <w:t>程金生</w:t>
      </w:r>
      <w:r>
        <w:rPr>
          <w:rFonts w:hint="default" w:ascii="Times New Roman" w:hAnsi="Times New Roman" w:cs="Times New Roman"/>
          <w:color w:val="auto"/>
          <w:sz w:val="28"/>
          <w:szCs w:val="28"/>
        </w:rPr>
        <w:t>（中国疾控中心辐射安全所）</w:t>
      </w:r>
    </w:p>
    <w:p>
      <w:pPr>
        <w:keepNext w:val="0"/>
        <w:keepLines w:val="0"/>
        <w:pageBreakBefore w:val="0"/>
        <w:widowControl w:val="0"/>
        <w:kinsoku/>
        <w:wordWrap/>
        <w:overflowPunct/>
        <w:topLinePunct w:val="0"/>
        <w:autoSpaceDE/>
        <w:autoSpaceDN/>
        <w:bidi w:val="0"/>
        <w:adjustRightInd/>
        <w:snapToGrid/>
        <w:ind w:left="1820" w:firstLine="420"/>
        <w:textAlignment w:val="auto"/>
        <w:outlineLvl w:val="9"/>
        <w:rPr>
          <w:rFonts w:hint="default" w:ascii="Times New Roman" w:hAnsi="Times New Roman" w:cs="Times New Roman"/>
          <w:color w:val="auto"/>
          <w:sz w:val="28"/>
          <w:szCs w:val="28"/>
        </w:rPr>
      </w:pPr>
    </w:p>
    <w:p>
      <w:pPr>
        <w:keepNext w:val="0"/>
        <w:keepLines w:val="0"/>
        <w:pageBreakBefore w:val="0"/>
        <w:widowControl w:val="0"/>
        <w:kinsoku/>
        <w:wordWrap/>
        <w:overflowPunct/>
        <w:topLinePunct w:val="0"/>
        <w:autoSpaceDE/>
        <w:autoSpaceDN/>
        <w:bidi w:val="0"/>
        <w:adjustRightInd/>
        <w:snapToGrid/>
        <w:ind w:left="1820" w:firstLine="420"/>
        <w:textAlignment w:val="auto"/>
        <w:outlineLvl w:val="9"/>
        <w:rPr>
          <w:rFonts w:hint="default" w:ascii="Times New Roman" w:hAnsi="Times New Roman" w:cs="Times New Roman"/>
          <w:color w:val="auto"/>
          <w:sz w:val="28"/>
          <w:szCs w:val="28"/>
        </w:rPr>
      </w:pPr>
    </w:p>
    <w:p>
      <w:pPr>
        <w:keepNext w:val="0"/>
        <w:keepLines w:val="0"/>
        <w:pageBreakBefore w:val="0"/>
        <w:widowControl w:val="0"/>
        <w:kinsoku/>
        <w:wordWrap/>
        <w:overflowPunct/>
        <w:topLinePunct w:val="0"/>
        <w:autoSpaceDE/>
        <w:autoSpaceDN/>
        <w:bidi w:val="0"/>
        <w:adjustRightInd/>
        <w:snapToGrid/>
        <w:ind w:firstLine="1820" w:firstLineChars="650"/>
        <w:textAlignment w:val="auto"/>
        <w:outlineLvl w:val="9"/>
        <w:rPr>
          <w:rFonts w:hint="default" w:ascii="Times New Roman" w:hAnsi="Times New Roman" w:eastAsia="黑体" w:cs="Times New Roman"/>
          <w:color w:val="auto"/>
          <w:sz w:val="28"/>
          <w:szCs w:val="28"/>
        </w:rPr>
      </w:pPr>
    </w:p>
    <w:p>
      <w:pPr>
        <w:ind w:firstLine="1820" w:firstLineChars="650"/>
        <w:rPr>
          <w:rFonts w:hint="default" w:ascii="Times New Roman" w:hAnsi="Times New Roman" w:eastAsia="黑体" w:cs="Times New Roman"/>
          <w:color w:val="auto"/>
          <w:sz w:val="28"/>
          <w:szCs w:val="28"/>
        </w:rPr>
      </w:pPr>
    </w:p>
    <w:p>
      <w:pPr>
        <w:ind w:firstLine="1820" w:firstLineChars="650"/>
        <w:rPr>
          <w:rFonts w:hint="default" w:ascii="Times New Roman" w:hAnsi="Times New Roman" w:eastAsia="黑体" w:cs="Times New Roman"/>
          <w:color w:val="auto"/>
          <w:sz w:val="28"/>
          <w:szCs w:val="28"/>
        </w:rPr>
      </w:pPr>
    </w:p>
    <w:p>
      <w:pPr>
        <w:ind w:left="7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 xml:space="preserve"> </w:t>
      </w:r>
    </w:p>
    <w:p>
      <w:pPr>
        <w:ind w:left="7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 xml:space="preserve">                    </w:t>
      </w:r>
    </w:p>
    <w:p>
      <w:pPr>
        <w:ind w:left="7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 xml:space="preserve">                    </w:t>
      </w:r>
    </w:p>
    <w:p>
      <w:pPr>
        <w:ind w:left="7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 xml:space="preserve">                    </w:t>
      </w:r>
    </w:p>
    <w:p>
      <w:pPr>
        <w:ind w:left="70"/>
        <w:jc w:val="center"/>
        <w:rPr>
          <w:rFonts w:hint="default" w:ascii="Times New Roman" w:hAnsi="Times New Roman" w:eastAsia="黑体" w:cs="Times New Roman"/>
          <w:color w:val="auto"/>
          <w:sz w:val="28"/>
          <w:szCs w:val="28"/>
        </w:rPr>
        <w:sectPr>
          <w:headerReference r:id="rId5" w:type="default"/>
          <w:footerReference r:id="rId6" w:type="default"/>
          <w:footerReference r:id="rId7" w:type="even"/>
          <w:pgSz w:w="11906" w:h="16838"/>
          <w:pgMar w:top="1524" w:right="1274" w:bottom="567" w:left="1134" w:header="851" w:footer="992" w:gutter="0"/>
          <w:pgNumType w:start="1"/>
          <w:cols w:space="425" w:num="1"/>
          <w:titlePg/>
          <w:docGrid w:type="lines" w:linePitch="312" w:charSpace="0"/>
        </w:sectPr>
      </w:pPr>
    </w:p>
    <w:p>
      <w:pPr>
        <w:spacing w:line="360" w:lineRule="auto"/>
        <w:ind w:left="70"/>
        <w:jc w:val="center"/>
        <w:rPr>
          <w:rFonts w:hint="default" w:ascii="Times New Roman" w:hAnsi="Times New Roman" w:eastAsia="黑体" w:cs="Times New Roman"/>
          <w:color w:val="auto"/>
          <w:sz w:val="44"/>
          <w:szCs w:val="44"/>
        </w:rPr>
      </w:pPr>
      <w:r>
        <w:rPr>
          <w:rFonts w:hint="default" w:ascii="Times New Roman" w:hAnsi="Times New Roman" w:eastAsia="黑体" w:cs="Times New Roman"/>
          <w:color w:val="auto"/>
          <w:sz w:val="44"/>
          <w:szCs w:val="44"/>
        </w:rPr>
        <w:t>目   录</w:t>
      </w:r>
    </w:p>
    <w:sdt>
      <w:sdtPr>
        <w:rPr>
          <w:rFonts w:hint="default" w:ascii="Times New Roman" w:hAnsi="Times New Roman" w:eastAsia="宋体" w:cs="Times New Roman"/>
          <w:color w:val="auto"/>
          <w:kern w:val="2"/>
          <w:sz w:val="21"/>
          <w:szCs w:val="24"/>
          <w:lang w:val="en-US" w:eastAsia="zh-CN" w:bidi="ar-SA"/>
        </w:rPr>
        <w:id w:val="147478604"/>
        <w15:color w:val="DBDBDB"/>
        <w:docPartObj>
          <w:docPartGallery w:val="Table of Contents"/>
          <w:docPartUnique/>
        </w:docPartObj>
      </w:sdtPr>
      <w:sdtEndPr>
        <w:rPr>
          <w:rFonts w:hint="default" w:ascii="Times New Roman" w:hAnsi="Times New Roman"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default" w:ascii="Times New Roman" w:hAnsi="Times New Roman" w:cs="Times New Roman"/>
              <w:color w:val="auto"/>
            </w:rPr>
          </w:pPr>
          <w:bookmarkStart w:id="3" w:name="_Toc200"/>
          <w:r>
            <w:rPr>
              <w:rFonts w:hint="default" w:ascii="Times New Roman" w:hAnsi="Times New Roman" w:eastAsia="宋体" w:cs="Times New Roman"/>
              <w:color w:val="auto"/>
              <w:sz w:val="21"/>
            </w:rPr>
            <w:t>目录</w:t>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TOC \o "1-3" \h \u </w:instrText>
          </w:r>
          <w:r>
            <w:rPr>
              <w:rFonts w:hint="default" w:ascii="Times New Roman" w:hAnsi="Times New Roman" w:cs="Times New Roman"/>
              <w:color w:val="auto"/>
            </w:rPr>
            <w:fldChar w:fldCharType="separate"/>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_Toc31123 </w:instrText>
          </w:r>
          <w:r>
            <w:rPr>
              <w:rFonts w:hint="default" w:ascii="Times New Roman" w:hAnsi="Times New Roman" w:cs="Times New Roman"/>
              <w:color w:val="auto"/>
            </w:rPr>
            <w:fldChar w:fldCharType="separate"/>
          </w:r>
          <w:r>
            <w:rPr>
              <w:rFonts w:hint="default" w:ascii="Times New Roman" w:hAnsi="Times New Roman" w:cs="Times New Roman"/>
              <w:color w:val="auto"/>
              <w:szCs w:val="44"/>
            </w:rPr>
            <w:t>引  言</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_Toc31123 \h </w:instrText>
          </w:r>
          <w:r>
            <w:rPr>
              <w:rFonts w:hint="default" w:ascii="Times New Roman" w:hAnsi="Times New Roman" w:cs="Times New Roman"/>
              <w:color w:val="auto"/>
            </w:rPr>
            <w:fldChar w:fldCharType="separate"/>
          </w:r>
          <w:r>
            <w:rPr>
              <w:rFonts w:hint="default" w:ascii="Times New Roman" w:hAnsi="Times New Roman" w:cs="Times New Roman"/>
              <w:color w:val="auto"/>
            </w:rPr>
            <w:t>II</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_Toc20578 </w:instrText>
          </w:r>
          <w:r>
            <w:rPr>
              <w:rFonts w:hint="default" w:ascii="Times New Roman" w:hAnsi="Times New Roman" w:cs="Times New Roman"/>
              <w:color w:val="auto"/>
            </w:rPr>
            <w:fldChar w:fldCharType="separate"/>
          </w:r>
          <w:r>
            <w:rPr>
              <w:rFonts w:hint="default" w:ascii="Times New Roman" w:hAnsi="Times New Roman" w:cs="Times New Roman"/>
              <w:color w:val="auto"/>
            </w:rPr>
            <w:t>1　范围</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_Toc20578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_Toc12767 </w:instrText>
          </w:r>
          <w:r>
            <w:rPr>
              <w:rFonts w:hint="default" w:ascii="Times New Roman" w:hAnsi="Times New Roman" w:cs="Times New Roman"/>
              <w:color w:val="auto"/>
            </w:rPr>
            <w:fldChar w:fldCharType="separate"/>
          </w:r>
          <w:r>
            <w:rPr>
              <w:rFonts w:hint="default" w:ascii="Times New Roman" w:hAnsi="Times New Roman" w:cs="Times New Roman"/>
              <w:color w:val="auto"/>
            </w:rPr>
            <w:t>2　引用文件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_Toc12767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_Toc6296 </w:instrText>
          </w:r>
          <w:r>
            <w:rPr>
              <w:rFonts w:hint="default" w:ascii="Times New Roman" w:hAnsi="Times New Roman" w:cs="Times New Roman"/>
              <w:color w:val="auto"/>
            </w:rPr>
            <w:fldChar w:fldCharType="separate"/>
          </w:r>
          <w:r>
            <w:rPr>
              <w:rFonts w:hint="default" w:ascii="Times New Roman" w:hAnsi="Times New Roman" w:cs="Times New Roman"/>
              <w:color w:val="auto"/>
            </w:rPr>
            <w:t>3　术语和计量单位</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_Toc6296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_Toc19467 </w:instrText>
          </w:r>
          <w:r>
            <w:rPr>
              <w:rFonts w:hint="default" w:ascii="Times New Roman" w:hAnsi="Times New Roman" w:cs="Times New Roman"/>
              <w:color w:val="auto"/>
            </w:rPr>
            <w:fldChar w:fldCharType="separate"/>
          </w:r>
          <w:r>
            <w:rPr>
              <w:rFonts w:hint="default" w:ascii="Times New Roman" w:hAnsi="Times New Roman" w:cs="Times New Roman"/>
              <w:color w:val="auto"/>
            </w:rPr>
            <w:t>3.1　术语</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_Toc19467 \h </w:instrText>
          </w:r>
          <w:r>
            <w:rPr>
              <w:rFonts w:hint="default" w:ascii="Times New Roman" w:hAnsi="Times New Roman" w:cs="Times New Roman"/>
              <w:color w:val="auto"/>
            </w:rPr>
            <w:fldChar w:fldCharType="separate"/>
          </w:r>
          <w:r>
            <w:rPr>
              <w:rFonts w:hint="default" w:ascii="Times New Roman" w:hAnsi="Times New Roman" w:cs="Times New Roman"/>
              <w:color w:val="auto"/>
            </w:rPr>
            <w:t>1</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_Toc29944 </w:instrText>
          </w:r>
          <w:r>
            <w:rPr>
              <w:rFonts w:hint="default" w:ascii="Times New Roman" w:hAnsi="Times New Roman" w:cs="Times New Roman"/>
              <w:color w:val="auto"/>
            </w:rPr>
            <w:fldChar w:fldCharType="separate"/>
          </w:r>
          <w:r>
            <w:rPr>
              <w:rFonts w:hint="default" w:ascii="Times New Roman" w:hAnsi="Times New Roman" w:cs="Times New Roman"/>
              <w:color w:val="auto"/>
            </w:rPr>
            <w:t>3.2　计量单位</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_Toc29944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_Toc12848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 xml:space="preserve">4  </w:t>
          </w:r>
          <w:r>
            <w:rPr>
              <w:rFonts w:hint="default" w:ascii="Times New Roman" w:hAnsi="Times New Roman" w:cs="Times New Roman"/>
              <w:color w:val="auto"/>
            </w:rPr>
            <w:t>概述</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_Toc12848 \h </w:instrText>
          </w:r>
          <w:r>
            <w:rPr>
              <w:rFonts w:hint="default" w:ascii="Times New Roman" w:hAnsi="Times New Roman" w:cs="Times New Roman"/>
              <w:color w:val="auto"/>
            </w:rPr>
            <w:fldChar w:fldCharType="separate"/>
          </w:r>
          <w:r>
            <w:rPr>
              <w:rFonts w:hint="default" w:ascii="Times New Roman" w:hAnsi="Times New Roman" w:cs="Times New Roman"/>
              <w:color w:val="auto"/>
            </w:rPr>
            <w:t>3</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_Toc26224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 xml:space="preserve">5  </w:t>
          </w:r>
          <w:r>
            <w:rPr>
              <w:rFonts w:hint="default" w:ascii="Times New Roman" w:hAnsi="Times New Roman" w:cs="Times New Roman"/>
              <w:color w:val="auto"/>
            </w:rPr>
            <w:t>计量特性</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_Toc26224 \h </w:instrText>
          </w:r>
          <w:r>
            <w:rPr>
              <w:rFonts w:hint="default" w:ascii="Times New Roman" w:hAnsi="Times New Roman" w:cs="Times New Roman"/>
              <w:color w:val="auto"/>
            </w:rPr>
            <w:fldChar w:fldCharType="separate"/>
          </w:r>
          <w:r>
            <w:rPr>
              <w:rFonts w:hint="default" w:ascii="Times New Roman" w:hAnsi="Times New Roman" w:cs="Times New Roman"/>
              <w:color w:val="auto"/>
            </w:rPr>
            <w:t>4</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_Toc11049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5.1 固体</w:t>
          </w:r>
          <w:r>
            <w:rPr>
              <w:rFonts w:hint="default" w:ascii="Times New Roman" w:hAnsi="Times New Roman" w:cs="Times New Roman"/>
              <w:color w:val="auto"/>
            </w:rPr>
            <w:t>剂量计的计量特性</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_Toc11049 \h </w:instrText>
          </w:r>
          <w:r>
            <w:rPr>
              <w:rFonts w:hint="default" w:ascii="Times New Roman" w:hAnsi="Times New Roman" w:cs="Times New Roman"/>
              <w:color w:val="auto"/>
            </w:rPr>
            <w:fldChar w:fldCharType="separate"/>
          </w:r>
          <w:r>
            <w:rPr>
              <w:rFonts w:hint="default" w:ascii="Times New Roman" w:hAnsi="Times New Roman" w:cs="Times New Roman"/>
              <w:color w:val="auto"/>
            </w:rPr>
            <w:t>4</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_Toc2305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5.2 固体剂量计性能特性测试</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_Toc2305 \h </w:instrText>
          </w:r>
          <w:r>
            <w:rPr>
              <w:rFonts w:hint="default" w:ascii="Times New Roman" w:hAnsi="Times New Roman" w:cs="Times New Roman"/>
              <w:color w:val="auto"/>
            </w:rPr>
            <w:fldChar w:fldCharType="separate"/>
          </w:r>
          <w:r>
            <w:rPr>
              <w:rFonts w:hint="default" w:ascii="Times New Roman" w:hAnsi="Times New Roman" w:cs="Times New Roman"/>
              <w:color w:val="auto"/>
            </w:rPr>
            <w:t>4</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_Toc1686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5.3 固体剂量计使用前的剂量校准（或刻度）</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_Toc1686 \h </w:instrText>
          </w:r>
          <w:r>
            <w:rPr>
              <w:rFonts w:hint="default" w:ascii="Times New Roman" w:hAnsi="Times New Roman" w:cs="Times New Roman"/>
              <w:color w:val="auto"/>
            </w:rPr>
            <w:fldChar w:fldCharType="separate"/>
          </w:r>
          <w:r>
            <w:rPr>
              <w:rFonts w:hint="default" w:ascii="Times New Roman" w:hAnsi="Times New Roman" w:cs="Times New Roman"/>
              <w:color w:val="auto"/>
            </w:rPr>
            <w:t>5</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_Toc732 </w:instrText>
          </w:r>
          <w:r>
            <w:rPr>
              <w:rFonts w:hint="default" w:ascii="Times New Roman" w:hAnsi="Times New Roman" w:cs="Times New Roman"/>
              <w:color w:val="auto"/>
            </w:rPr>
            <w:fldChar w:fldCharType="separate"/>
          </w:r>
          <w:r>
            <w:rPr>
              <w:rFonts w:hint="default" w:ascii="Times New Roman" w:hAnsi="Times New Roman" w:cs="Times New Roman"/>
              <w:color w:val="auto"/>
            </w:rPr>
            <w:t xml:space="preserve">6  </w:t>
          </w:r>
          <w:r>
            <w:rPr>
              <w:rFonts w:hint="default" w:ascii="Times New Roman" w:hAnsi="Times New Roman" w:cs="Times New Roman"/>
              <w:color w:val="auto"/>
              <w:lang w:val="en-US" w:eastAsia="zh-CN"/>
            </w:rPr>
            <w:t>校准</w:t>
          </w:r>
          <w:r>
            <w:rPr>
              <w:rFonts w:hint="default" w:ascii="Times New Roman" w:hAnsi="Times New Roman" w:cs="Times New Roman"/>
              <w:color w:val="auto"/>
            </w:rPr>
            <w:t>条件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_Toc732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_Toc28335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6.1  环境条件</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_Toc28335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_Toc17204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6.2  测量标准器及其他设备</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_Toc17204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_Toc4058 </w:instrText>
          </w:r>
          <w:r>
            <w:rPr>
              <w:rFonts w:hint="default" w:ascii="Times New Roman" w:hAnsi="Times New Roman" w:cs="Times New Roman"/>
              <w:color w:val="auto"/>
            </w:rPr>
            <w:fldChar w:fldCharType="separate"/>
          </w:r>
          <w:r>
            <w:rPr>
              <w:rFonts w:hint="default" w:ascii="Times New Roman" w:hAnsi="Times New Roman" w:cs="Times New Roman"/>
              <w:color w:val="auto"/>
            </w:rPr>
            <w:t xml:space="preserve">7  </w:t>
          </w:r>
          <w:r>
            <w:rPr>
              <w:rFonts w:hint="default" w:ascii="Times New Roman" w:hAnsi="Times New Roman" w:cs="Times New Roman"/>
              <w:color w:val="auto"/>
              <w:lang w:val="en-US" w:eastAsia="zh-CN"/>
            </w:rPr>
            <w:t>校准项目和校准</w:t>
          </w:r>
          <w:r>
            <w:rPr>
              <w:rFonts w:hint="default" w:ascii="Times New Roman" w:hAnsi="Times New Roman" w:cs="Times New Roman"/>
              <w:color w:val="auto"/>
            </w:rPr>
            <w:t>方法</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_Toc4058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_Toc21692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7.1 校准项目</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_Toc21692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_Toc10567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7.2 校准方法</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_Toc10567 \h </w:instrText>
          </w:r>
          <w:r>
            <w:rPr>
              <w:rFonts w:hint="default" w:ascii="Times New Roman" w:hAnsi="Times New Roman" w:cs="Times New Roman"/>
              <w:color w:val="auto"/>
            </w:rPr>
            <w:fldChar w:fldCharType="separate"/>
          </w:r>
          <w:r>
            <w:rPr>
              <w:rFonts w:hint="default" w:ascii="Times New Roman" w:hAnsi="Times New Roman" w:cs="Times New Roman"/>
              <w:color w:val="auto"/>
            </w:rPr>
            <w:t>6</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_Toc23947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7.3 固体剂量计的辐照</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_Toc23947 \h </w:instrText>
          </w:r>
          <w:r>
            <w:rPr>
              <w:rFonts w:hint="default" w:ascii="Times New Roman" w:hAnsi="Times New Roman" w:cs="Times New Roman"/>
              <w:color w:val="auto"/>
            </w:rPr>
            <w:fldChar w:fldCharType="separate"/>
          </w:r>
          <w:r>
            <w:rPr>
              <w:rFonts w:hint="default" w:ascii="Times New Roman" w:hAnsi="Times New Roman" w:cs="Times New Roman"/>
              <w:color w:val="auto"/>
            </w:rPr>
            <w:t>7</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_Toc12623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7.4 固体剂量计的寄回与读数</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_Toc12623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75"/>
            <w:tabs>
              <w:tab w:val="right" w:leader="dot" w:pos="9498"/>
              <w:tab w:val="clear" w:pos="994"/>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_Toc8478 </w:instrText>
          </w:r>
          <w:r>
            <w:rPr>
              <w:rFonts w:hint="default" w:ascii="Times New Roman" w:hAnsi="Times New Roman" w:cs="Times New Roman"/>
              <w:color w:val="auto"/>
            </w:rPr>
            <w:fldChar w:fldCharType="separate"/>
          </w:r>
          <w:r>
            <w:rPr>
              <w:rFonts w:hint="default" w:ascii="Times New Roman" w:hAnsi="Times New Roman" w:cs="Times New Roman"/>
              <w:color w:val="auto"/>
              <w:lang w:val="en-US" w:eastAsia="zh-CN"/>
            </w:rPr>
            <w:t>7.5 校准因子计算</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_Toc8478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_Toc27475 </w:instrText>
          </w:r>
          <w:r>
            <w:rPr>
              <w:rFonts w:hint="default" w:ascii="Times New Roman" w:hAnsi="Times New Roman" w:cs="Times New Roman"/>
              <w:color w:val="auto"/>
            </w:rPr>
            <w:fldChar w:fldCharType="separate"/>
          </w:r>
          <w:r>
            <w:rPr>
              <w:rFonts w:hint="default" w:ascii="Times New Roman" w:hAnsi="Times New Roman" w:cs="Times New Roman"/>
              <w:color w:val="auto"/>
            </w:rPr>
            <w:t xml:space="preserve">8  </w:t>
          </w:r>
          <w:r>
            <w:rPr>
              <w:rFonts w:hint="default" w:ascii="Times New Roman" w:hAnsi="Times New Roman" w:cs="Times New Roman"/>
              <w:color w:val="auto"/>
              <w:lang w:eastAsia="zh-CN"/>
            </w:rPr>
            <w:t>校准</w:t>
          </w:r>
          <w:r>
            <w:rPr>
              <w:rFonts w:hint="default" w:ascii="Times New Roman" w:hAnsi="Times New Roman" w:cs="Times New Roman"/>
              <w:color w:val="auto"/>
            </w:rPr>
            <w:t>结果表达</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_Toc27475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_Toc28414 </w:instrText>
          </w:r>
          <w:r>
            <w:rPr>
              <w:rFonts w:hint="default" w:ascii="Times New Roman" w:hAnsi="Times New Roman" w:cs="Times New Roman"/>
              <w:color w:val="auto"/>
            </w:rPr>
            <w:fldChar w:fldCharType="separate"/>
          </w:r>
          <w:r>
            <w:rPr>
              <w:rFonts w:hint="default" w:ascii="Times New Roman" w:hAnsi="Times New Roman" w:cs="Times New Roman"/>
              <w:color w:val="auto"/>
            </w:rPr>
            <w:t>9  复</w:t>
          </w:r>
          <w:r>
            <w:rPr>
              <w:rFonts w:hint="default" w:ascii="Times New Roman" w:hAnsi="Times New Roman" w:cs="Times New Roman"/>
              <w:color w:val="auto"/>
              <w:lang w:val="en-US" w:eastAsia="zh-CN"/>
            </w:rPr>
            <w:t>核</w:t>
          </w:r>
          <w:r>
            <w:rPr>
              <w:rFonts w:hint="default" w:ascii="Times New Roman" w:hAnsi="Times New Roman" w:cs="Times New Roman"/>
              <w:color w:val="auto"/>
            </w:rPr>
            <w:t>时间间隔</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_Toc28414 \h </w:instrText>
          </w:r>
          <w:r>
            <w:rPr>
              <w:rFonts w:hint="default" w:ascii="Times New Roman" w:hAnsi="Times New Roman" w:cs="Times New Roman"/>
              <w:color w:val="auto"/>
            </w:rPr>
            <w:fldChar w:fldCharType="separate"/>
          </w:r>
          <w:r>
            <w:rPr>
              <w:rFonts w:hint="default" w:ascii="Times New Roman" w:hAnsi="Times New Roman" w:cs="Times New Roman"/>
              <w:color w:val="auto"/>
            </w:rPr>
            <w:t>8</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_Toc28559 </w:instrText>
          </w:r>
          <w:r>
            <w:rPr>
              <w:rFonts w:hint="default" w:ascii="Times New Roman" w:hAnsi="Times New Roman" w:cs="Times New Roman"/>
              <w:color w:val="auto"/>
            </w:rPr>
            <w:fldChar w:fldCharType="separate"/>
          </w:r>
          <w:r>
            <w:rPr>
              <w:rFonts w:hint="default" w:ascii="Times New Roman" w:hAnsi="Times New Roman" w:cs="Times New Roman"/>
              <w:color w:val="auto"/>
              <w:szCs w:val="28"/>
            </w:rPr>
            <w:t xml:space="preserve">附录 </w:t>
          </w:r>
          <w:r>
            <w:rPr>
              <w:rFonts w:hint="default" w:ascii="Times New Roman" w:hAnsi="Times New Roman" w:cs="Times New Roman"/>
              <w:color w:val="auto"/>
              <w:szCs w:val="28"/>
              <w:lang w:val="en-US" w:eastAsia="zh-CN"/>
            </w:rPr>
            <w:t xml:space="preserve">A </w:t>
          </w:r>
          <w:r>
            <w:rPr>
              <w:rFonts w:hint="default" w:ascii="Times New Roman" w:hAnsi="Times New Roman" w:cs="Times New Roman"/>
              <w:bCs w:val="0"/>
              <w:color w:val="auto"/>
              <w:szCs w:val="28"/>
              <w:lang w:val="en-US" w:eastAsia="zh-CN"/>
            </w:rPr>
            <w:t>xxx外照射</w:t>
          </w:r>
          <w:r>
            <w:rPr>
              <w:rFonts w:hint="eastAsia" w:cs="Times New Roman"/>
              <w:bCs w:val="0"/>
              <w:color w:val="auto"/>
              <w:szCs w:val="28"/>
              <w:lang w:val="en-US" w:eastAsia="zh-CN"/>
            </w:rPr>
            <w:t>放疗</w:t>
          </w:r>
          <w:r>
            <w:rPr>
              <w:rFonts w:hint="default" w:ascii="Times New Roman" w:hAnsi="Times New Roman" w:cs="Times New Roman"/>
              <w:bCs w:val="0"/>
              <w:color w:val="auto"/>
              <w:szCs w:val="28"/>
              <w:lang w:val="en-US" w:eastAsia="zh-CN"/>
            </w:rPr>
            <w:t>束邮寄核验水吸收剂量数据登记表</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_Toc28559 \h </w:instrText>
          </w:r>
          <w:r>
            <w:rPr>
              <w:rFonts w:hint="default" w:ascii="Times New Roman" w:hAnsi="Times New Roman" w:cs="Times New Roman"/>
              <w:color w:val="auto"/>
            </w:rPr>
            <w:fldChar w:fldCharType="separate"/>
          </w:r>
          <w:r>
            <w:rPr>
              <w:rFonts w:hint="default" w:ascii="Times New Roman" w:hAnsi="Times New Roman" w:cs="Times New Roman"/>
              <w:color w:val="auto"/>
            </w:rPr>
            <w:t>9</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pStyle w:val="60"/>
            <w:tabs>
              <w:tab w:val="right" w:leader="dot" w:pos="9498"/>
              <w:tab w:val="clear" w:pos="9488"/>
            </w:tabs>
            <w:rPr>
              <w:rFonts w:hint="default" w:ascii="Times New Roman" w:hAnsi="Times New Roman" w:cs="Times New Roman"/>
              <w:color w:val="auto"/>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_Toc6923 </w:instrText>
          </w:r>
          <w:r>
            <w:rPr>
              <w:rFonts w:hint="default" w:ascii="Times New Roman" w:hAnsi="Times New Roman" w:cs="Times New Roman"/>
              <w:color w:val="auto"/>
            </w:rPr>
            <w:fldChar w:fldCharType="separate"/>
          </w:r>
          <w:r>
            <w:rPr>
              <w:rFonts w:hint="default" w:ascii="Times New Roman" w:hAnsi="Times New Roman" w:cs="Times New Roman"/>
              <w:color w:val="auto"/>
            </w:rPr>
            <w:t xml:space="preserve">附录 </w:t>
          </w:r>
          <w:r>
            <w:rPr>
              <w:rFonts w:hint="default" w:ascii="Times New Roman" w:hAnsi="Times New Roman" w:cs="Times New Roman"/>
              <w:color w:val="auto"/>
              <w:lang w:val="en-US" w:eastAsia="zh-CN"/>
            </w:rPr>
            <w:t>B</w:t>
          </w:r>
          <w:r>
            <w:rPr>
              <w:rFonts w:hint="default" w:ascii="Times New Roman" w:hAnsi="Times New Roman" w:cs="Times New Roman"/>
              <w:bCs w:val="0"/>
              <w:color w:val="auto"/>
              <w:szCs w:val="28"/>
              <w:lang w:val="en-US" w:eastAsia="zh-CN"/>
            </w:rPr>
            <w:t>xxx外照射</w:t>
          </w:r>
          <w:r>
            <w:rPr>
              <w:rFonts w:hint="eastAsia" w:cs="Times New Roman"/>
              <w:bCs w:val="0"/>
              <w:color w:val="auto"/>
              <w:szCs w:val="28"/>
              <w:lang w:val="en-US" w:eastAsia="zh-CN"/>
            </w:rPr>
            <w:t>放疗</w:t>
          </w:r>
          <w:r>
            <w:rPr>
              <w:rFonts w:hint="default" w:ascii="Times New Roman" w:hAnsi="Times New Roman" w:cs="Times New Roman"/>
              <w:bCs w:val="0"/>
              <w:color w:val="auto"/>
              <w:szCs w:val="28"/>
              <w:lang w:val="en-US" w:eastAsia="zh-CN"/>
            </w:rPr>
            <w:t>束邮寄核验水吸收剂量 校准证书</w:t>
          </w:r>
          <w:r>
            <w:rPr>
              <w:rFonts w:hint="default" w:ascii="Times New Roman" w:hAnsi="Times New Roman" w:cs="Times New Roman"/>
              <w:color w:val="auto"/>
            </w:rPr>
            <w:tab/>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PAGEREF _Toc6923 \h </w:instrText>
          </w:r>
          <w:r>
            <w:rPr>
              <w:rFonts w:hint="default" w:ascii="Times New Roman" w:hAnsi="Times New Roman" w:cs="Times New Roman"/>
              <w:color w:val="auto"/>
            </w:rPr>
            <w:fldChar w:fldCharType="separate"/>
          </w:r>
          <w:r>
            <w:rPr>
              <w:rFonts w:hint="default" w:ascii="Times New Roman" w:hAnsi="Times New Roman" w:cs="Times New Roman"/>
              <w:color w:val="auto"/>
            </w:rPr>
            <w:t>11</w:t>
          </w:r>
          <w:r>
            <w:rPr>
              <w:rFonts w:hint="default" w:ascii="Times New Roman" w:hAnsi="Times New Roman" w:cs="Times New Roman"/>
              <w:color w:val="auto"/>
            </w:rPr>
            <w:fldChar w:fldCharType="end"/>
          </w:r>
          <w:r>
            <w:rPr>
              <w:rFonts w:hint="default" w:ascii="Times New Roman" w:hAnsi="Times New Roman" w:cs="Times New Roman"/>
              <w:color w:val="auto"/>
            </w:rPr>
            <w:fldChar w:fldCharType="end"/>
          </w:r>
        </w:p>
        <w:p>
          <w:pPr>
            <w:rPr>
              <w:rFonts w:hint="default" w:ascii="Times New Roman" w:hAnsi="Times New Roman" w:cs="Times New Roman"/>
              <w:color w:val="auto"/>
            </w:rPr>
          </w:pPr>
          <w:r>
            <w:rPr>
              <w:rFonts w:hint="default" w:ascii="Times New Roman" w:hAnsi="Times New Roman" w:cs="Times New Roman"/>
              <w:color w:val="auto"/>
            </w:rPr>
            <w:fldChar w:fldCharType="end"/>
          </w:r>
        </w:p>
      </w:sdtContent>
    </w:sdt>
    <w:p>
      <w:pPr>
        <w:rPr>
          <w:rFonts w:hint="default" w:ascii="Times New Roman" w:hAnsi="Times New Roman" w:cs="Times New Roman"/>
          <w:b/>
          <w:color w:val="auto"/>
          <w:sz w:val="44"/>
          <w:szCs w:val="44"/>
        </w:rPr>
      </w:pPr>
      <w:r>
        <w:rPr>
          <w:rFonts w:hint="default" w:ascii="Times New Roman" w:hAnsi="Times New Roman" w:cs="Times New Roman"/>
          <w:b/>
          <w:color w:val="auto"/>
          <w:sz w:val="44"/>
          <w:szCs w:val="44"/>
        </w:rPr>
        <w:br w:type="page"/>
      </w:r>
    </w:p>
    <w:p>
      <w:pPr>
        <w:snapToGrid w:val="0"/>
        <w:spacing w:line="360" w:lineRule="auto"/>
        <w:jc w:val="center"/>
        <w:outlineLvl w:val="0"/>
        <w:rPr>
          <w:rFonts w:hint="default" w:ascii="Times New Roman" w:hAnsi="Times New Roman" w:cs="Times New Roman"/>
          <w:b/>
          <w:color w:val="auto"/>
          <w:sz w:val="44"/>
          <w:szCs w:val="44"/>
        </w:rPr>
      </w:pPr>
      <w:bookmarkStart w:id="4" w:name="_Toc31123"/>
      <w:r>
        <w:rPr>
          <w:rFonts w:hint="default" w:ascii="Times New Roman" w:hAnsi="Times New Roman" w:cs="Times New Roman"/>
          <w:b/>
          <w:color w:val="auto"/>
          <w:sz w:val="44"/>
          <w:szCs w:val="44"/>
        </w:rPr>
        <w:t>引  言</w:t>
      </w:r>
      <w:bookmarkEnd w:id="3"/>
      <w:bookmarkEnd w:id="4"/>
    </w:p>
    <w:p>
      <w:pPr>
        <w:spacing w:line="360" w:lineRule="auto"/>
        <w:ind w:firstLine="516" w:firstLineChars="215"/>
        <w:rPr>
          <w:rFonts w:hint="default" w:ascii="Times New Roman" w:hAnsi="Times New Roman" w:cs="Times New Roman"/>
          <w:color w:val="auto"/>
        </w:rPr>
      </w:pPr>
      <w:r>
        <w:rPr>
          <w:rFonts w:hint="default" w:ascii="Times New Roman" w:hAnsi="Times New Roman" w:cs="Times New Roman"/>
          <w:color w:val="auto"/>
        </w:rPr>
        <w:t>　</w:t>
      </w:r>
    </w:p>
    <w:p>
      <w:pPr>
        <w:pStyle w:val="110"/>
        <w:spacing w:line="360" w:lineRule="auto"/>
        <w:ind w:left="0" w:firstLine="484" w:firstLineChars="202"/>
        <w:rPr>
          <w:rFonts w:hint="default" w:ascii="Times New Roman" w:hAnsi="Times New Roman" w:cs="Times New Roman"/>
          <w:color w:val="auto"/>
          <w:sz w:val="24"/>
          <w:lang w:val="en-US" w:eastAsia="zh-CN"/>
        </w:rPr>
      </w:pPr>
      <w:r>
        <w:rPr>
          <w:rFonts w:hint="default" w:ascii="Times New Roman" w:hAnsi="Times New Roman" w:cs="Times New Roman"/>
          <w:color w:val="auto"/>
          <w:sz w:val="24"/>
        </w:rPr>
        <w:t>本规范的编写以JJF 1071-2010《国家计量校准规范编写规则》、JJF 1001-2011《通用计量术语及定义》</w:t>
      </w:r>
      <w:r>
        <w:rPr>
          <w:rFonts w:hint="default" w:ascii="Times New Roman" w:hAnsi="Times New Roman" w:cs="Times New Roman"/>
          <w:color w:val="auto"/>
          <w:sz w:val="24"/>
        </w:rPr>
        <w:t>、JJF 1035-2006《电离辐射计量术语及定义》、JJF 1059.1-2012《测量不确定度评定与表示》为基础和依据。</w:t>
      </w:r>
      <w:r>
        <w:rPr>
          <w:rFonts w:hint="default" w:ascii="Times New Roman" w:hAnsi="Times New Roman" w:cs="Times New Roman"/>
          <w:color w:val="auto"/>
          <w:sz w:val="24"/>
          <w:lang w:val="en-US" w:eastAsia="zh-CN"/>
        </w:rPr>
        <w:t>校准</w:t>
      </w:r>
      <w:r>
        <w:rPr>
          <w:rFonts w:hint="default" w:ascii="Times New Roman" w:hAnsi="Times New Roman" w:cs="Times New Roman"/>
          <w:color w:val="auto"/>
          <w:sz w:val="24"/>
        </w:rPr>
        <w:t>方法及计量特性</w:t>
      </w:r>
      <w:r>
        <w:rPr>
          <w:rFonts w:hint="default" w:ascii="Times New Roman" w:hAnsi="Times New Roman" w:cs="Times New Roman"/>
          <w:color w:val="auto"/>
          <w:sz w:val="24"/>
          <w:lang w:val="en-US" w:eastAsia="zh-CN"/>
        </w:rPr>
        <w:t>等</w:t>
      </w:r>
      <w:r>
        <w:rPr>
          <w:rFonts w:hint="default" w:ascii="Times New Roman" w:hAnsi="Times New Roman" w:cs="Times New Roman"/>
          <w:color w:val="auto"/>
          <w:sz w:val="24"/>
        </w:rPr>
        <w:t>主要参考了</w:t>
      </w:r>
      <w:r>
        <w:rPr>
          <w:rFonts w:hint="default" w:ascii="Times New Roman" w:hAnsi="Times New Roman" w:cs="Times New Roman"/>
          <w:color w:val="auto"/>
          <w:kern w:val="2"/>
          <w:sz w:val="24"/>
          <w:szCs w:val="24"/>
          <w:lang w:eastAsia="zh-CN" w:bidi="ar-SA"/>
        </w:rPr>
        <w:t>JJF1743-2019《放射治疗用电离室剂量计水吸收剂量校准规范》，JJG 912-2010《治疗水平电离室剂量计》，</w:t>
      </w:r>
      <w:r>
        <w:rPr>
          <w:rFonts w:hint="default" w:ascii="Times New Roman" w:hAnsi="Times New Roman" w:cs="Times New Roman"/>
          <w:color w:val="auto"/>
          <w:sz w:val="24"/>
          <w:lang w:val="en-US" w:eastAsia="zh-CN"/>
        </w:rPr>
        <w:t>JJG589-2008《医用电子加速器辐射源检定规程》</w:t>
      </w:r>
      <w:r>
        <w:rPr>
          <w:rFonts w:hint="default" w:ascii="Times New Roman" w:hAnsi="Times New Roman" w:cs="Times New Roman"/>
          <w:color w:val="auto"/>
          <w:kern w:val="2"/>
          <w:sz w:val="24"/>
          <w:szCs w:val="24"/>
          <w:lang w:eastAsia="zh-CN" w:bidi="ar-SA"/>
        </w:rPr>
        <w:t>，</w:t>
      </w:r>
      <w:r>
        <w:rPr>
          <w:rFonts w:hint="default" w:ascii="Times New Roman" w:hAnsi="Times New Roman" w:cs="Times New Roman"/>
          <w:color w:val="auto"/>
          <w:kern w:val="2"/>
          <w:sz w:val="24"/>
          <w:szCs w:val="24"/>
          <w:lang w:val="en-US" w:eastAsia="zh-CN" w:bidi="ar-SA"/>
        </w:rPr>
        <w:t>NCC/T-RT 002-2021 《基于水吸收剂量校准因子的高能光子束和电子束吸收剂量测定指南》</w:t>
      </w:r>
      <w:r>
        <w:rPr>
          <w:rFonts w:hint="default" w:ascii="Times New Roman" w:hAnsi="Times New Roman" w:cs="Times New Roman"/>
          <w:color w:val="auto"/>
          <w:kern w:val="2"/>
          <w:sz w:val="24"/>
          <w:szCs w:val="24"/>
          <w:lang w:eastAsia="zh-CN" w:bidi="ar-SA"/>
        </w:rPr>
        <w:t>，</w:t>
      </w:r>
      <w:r>
        <w:rPr>
          <w:rFonts w:hint="default" w:ascii="Times New Roman" w:hAnsi="Times New Roman" w:cs="Times New Roman"/>
          <w:color w:val="auto"/>
          <w:kern w:val="2"/>
          <w:sz w:val="24"/>
          <w:szCs w:val="24"/>
          <w:lang w:val="en-US" w:eastAsia="zh-CN" w:bidi="ar-SA"/>
        </w:rPr>
        <w:t>IAEA</w:t>
      </w:r>
      <w:r>
        <w:rPr>
          <w:rFonts w:hint="default" w:ascii="Times New Roman" w:hAnsi="Times New Roman" w:cs="Times New Roman"/>
          <w:color w:val="auto"/>
          <w:kern w:val="2"/>
          <w:sz w:val="24"/>
          <w:szCs w:val="24"/>
          <w:lang w:eastAsia="zh-CN" w:bidi="ar-SA"/>
        </w:rPr>
        <w:t xml:space="preserve"> </w:t>
      </w:r>
      <w:r>
        <w:rPr>
          <w:rFonts w:hint="default" w:ascii="Times New Roman" w:hAnsi="Times New Roman" w:cs="Times New Roman"/>
          <w:color w:val="auto"/>
          <w:kern w:val="2"/>
          <w:sz w:val="24"/>
          <w:szCs w:val="24"/>
          <w:lang w:val="en-US" w:eastAsia="zh-CN" w:bidi="ar-SA"/>
        </w:rPr>
        <w:t>TRS-398</w:t>
      </w:r>
      <w:r>
        <w:rPr>
          <w:rFonts w:hint="default" w:ascii="Times New Roman" w:hAnsi="Times New Roman" w:cs="Times New Roman"/>
          <w:color w:val="auto"/>
          <w:kern w:val="2"/>
          <w:sz w:val="24"/>
          <w:szCs w:val="24"/>
          <w:lang w:eastAsia="zh-CN" w:bidi="ar-SA"/>
        </w:rPr>
        <w:t>-20</w:t>
      </w:r>
      <w:r>
        <w:rPr>
          <w:rFonts w:hint="default" w:ascii="Times New Roman" w:hAnsi="Times New Roman" w:cs="Times New Roman"/>
          <w:color w:val="auto"/>
          <w:kern w:val="2"/>
          <w:sz w:val="24"/>
          <w:szCs w:val="24"/>
          <w:lang w:val="en-US" w:eastAsia="zh-CN" w:bidi="ar-SA"/>
        </w:rPr>
        <w:t>04《外照射放射治疗束吸收剂量测定：基于水吸收剂量标准的剂量测定国际实施规程》</w:t>
      </w:r>
      <w:r>
        <w:rPr>
          <w:rFonts w:hint="default" w:ascii="Times New Roman" w:hAnsi="Times New Roman" w:cs="Times New Roman"/>
          <w:color w:val="auto"/>
          <w:kern w:val="2"/>
          <w:sz w:val="24"/>
          <w:szCs w:val="24"/>
          <w:lang w:eastAsia="zh-CN" w:bidi="ar-SA"/>
        </w:rPr>
        <w:t>（Absorbed Dose Determination in External Beam Radiotherapy: An International Code of Practice for Dosimetry Based on Standards of Absorbed Dose to Water）</w:t>
      </w:r>
      <w:r>
        <w:rPr>
          <w:rFonts w:hint="default" w:ascii="Times New Roman" w:hAnsi="Times New Roman" w:cs="Times New Roman"/>
          <w:color w:val="auto"/>
          <w:sz w:val="24"/>
          <w:lang w:eastAsia="zh-CN"/>
        </w:rPr>
        <w:t>。</w:t>
      </w:r>
    </w:p>
    <w:p>
      <w:pPr>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rPr>
        <w:t>与JJF 1</w:t>
      </w:r>
      <w:r>
        <w:rPr>
          <w:rFonts w:hint="default" w:ascii="Times New Roman" w:hAnsi="Times New Roman" w:cs="Times New Roman"/>
          <w:color w:val="auto"/>
          <w:lang w:val="en-US" w:eastAsia="zh-CN"/>
        </w:rPr>
        <w:t>019</w:t>
      </w:r>
      <w:r>
        <w:rPr>
          <w:rFonts w:hint="default" w:ascii="Times New Roman" w:hAnsi="Times New Roman" w:cs="Times New Roman"/>
          <w:color w:val="auto"/>
        </w:rPr>
        <w:t>-</w:t>
      </w:r>
      <w:r>
        <w:rPr>
          <w:rFonts w:hint="default" w:ascii="Times New Roman" w:hAnsi="Times New Roman" w:cs="Times New Roman"/>
          <w:color w:val="auto"/>
          <w:lang w:val="en-US" w:eastAsia="zh-CN"/>
        </w:rPr>
        <w:t>1990</w:t>
      </w:r>
      <w:r>
        <w:rPr>
          <w:rFonts w:hint="default" w:ascii="Times New Roman" w:hAnsi="Times New Roman" w:cs="Times New Roman"/>
          <w:color w:val="auto"/>
        </w:rPr>
        <w:t xml:space="preserve"> 相比，本次</w:t>
      </w:r>
      <w:r>
        <w:rPr>
          <w:rFonts w:hint="eastAsia" w:cs="Times New Roman"/>
          <w:color w:val="auto"/>
          <w:lang w:val="en-US" w:eastAsia="zh-CN"/>
        </w:rPr>
        <w:t>制定</w:t>
      </w:r>
      <w:r>
        <w:rPr>
          <w:rFonts w:hint="default" w:ascii="Times New Roman" w:hAnsi="Times New Roman" w:cs="Times New Roman"/>
          <w:color w:val="auto"/>
        </w:rPr>
        <w:t>主要技术变化如下：</w:t>
      </w:r>
    </w:p>
    <w:p>
      <w:pPr>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rPr>
        <w:t>——根据JJF 1071-2010《国家计量校准规范编写规则》的要求进行了格式修改；</w:t>
      </w:r>
    </w:p>
    <w:p>
      <w:pPr>
        <w:spacing w:line="360" w:lineRule="auto"/>
        <w:ind w:firstLine="480" w:firstLineChars="200"/>
        <w:rPr>
          <w:rFonts w:hint="default" w:ascii="Times New Roman" w:hAnsi="Times New Roman" w:eastAsia="宋体" w:cs="Times New Roman"/>
          <w:color w:val="auto"/>
          <w:lang w:val="en-US" w:eastAsia="zh-CN"/>
        </w:rPr>
      </w:pPr>
      <w:r>
        <w:rPr>
          <w:rFonts w:hint="default" w:ascii="Times New Roman" w:hAnsi="Times New Roman" w:cs="Times New Roman"/>
          <w:color w:val="auto"/>
        </w:rPr>
        <w:t>——</w:t>
      </w:r>
      <w:r>
        <w:rPr>
          <w:rFonts w:hint="default" w:ascii="Times New Roman" w:hAnsi="Times New Roman" w:cs="Times New Roman"/>
          <w:color w:val="auto"/>
          <w:lang w:val="en-US" w:eastAsia="zh-CN"/>
        </w:rPr>
        <w:t>根据校准用</w:t>
      </w:r>
      <w:r>
        <w:rPr>
          <w:rFonts w:hint="eastAsia" w:cs="Times New Roman"/>
          <w:color w:val="auto"/>
          <w:lang w:val="en-US" w:eastAsia="zh-CN"/>
        </w:rPr>
        <w:t>固体剂量计</w:t>
      </w:r>
      <w:r>
        <w:rPr>
          <w:rFonts w:hint="default" w:ascii="Times New Roman" w:hAnsi="Times New Roman" w:cs="Times New Roman"/>
          <w:color w:val="auto"/>
          <w:lang w:val="en-US" w:eastAsia="zh-CN"/>
        </w:rPr>
        <w:t>和被校准对象的变化，将该技术规范名称</w:t>
      </w:r>
      <w:r>
        <w:rPr>
          <w:rFonts w:hint="eastAsia" w:cs="Times New Roman"/>
          <w:color w:val="auto"/>
          <w:lang w:val="en-US" w:eastAsia="zh-CN"/>
        </w:rPr>
        <w:t>确定</w:t>
      </w:r>
      <w:r>
        <w:rPr>
          <w:rFonts w:hint="default" w:ascii="Times New Roman" w:hAnsi="Times New Roman" w:cs="Times New Roman"/>
          <w:color w:val="auto"/>
          <w:lang w:val="en-US" w:eastAsia="zh-CN"/>
        </w:rPr>
        <w:t>为《固体剂量计邮寄核验放疗水吸收剂量校准规范》；将校准用探测器</w:t>
      </w:r>
      <w:r>
        <w:rPr>
          <w:rFonts w:hint="eastAsia" w:cs="Times New Roman"/>
          <w:color w:val="auto"/>
          <w:lang w:val="en-US" w:eastAsia="zh-CN"/>
        </w:rPr>
        <w:t>确定</w:t>
      </w:r>
      <w:r>
        <w:rPr>
          <w:rFonts w:hint="default" w:ascii="Times New Roman" w:hAnsi="Times New Roman" w:cs="Times New Roman"/>
          <w:color w:val="auto"/>
          <w:lang w:val="en-US" w:eastAsia="zh-CN"/>
        </w:rPr>
        <w:t>为固体剂量计，其目前包括丙氨酸剂量计、光释光剂量计</w:t>
      </w:r>
      <w:r>
        <w:rPr>
          <w:rFonts w:hint="eastAsia" w:cs="Times New Roman"/>
          <w:color w:val="auto"/>
          <w:lang w:val="en-US" w:eastAsia="zh-CN"/>
        </w:rPr>
        <w:t>、</w:t>
      </w:r>
      <w:r>
        <w:rPr>
          <w:rFonts w:hint="default" w:ascii="Times New Roman" w:hAnsi="Times New Roman" w:cs="Times New Roman"/>
          <w:color w:val="auto"/>
          <w:lang w:val="en-US" w:eastAsia="zh-CN"/>
        </w:rPr>
        <w:t>热释光剂量计</w:t>
      </w:r>
      <w:r>
        <w:rPr>
          <w:rFonts w:hint="eastAsia" w:cs="Times New Roman"/>
          <w:color w:val="auto"/>
          <w:lang w:val="en-US" w:eastAsia="zh-CN"/>
        </w:rPr>
        <w:t>和辐射光致发光剂量计</w:t>
      </w:r>
      <w:r>
        <w:rPr>
          <w:rFonts w:hint="default" w:ascii="Times New Roman" w:hAnsi="Times New Roman" w:cs="Times New Roman"/>
          <w:color w:val="auto"/>
        </w:rPr>
        <w:t>；</w:t>
      </w:r>
      <w:r>
        <w:rPr>
          <w:rFonts w:hint="default" w:ascii="Times New Roman" w:hAnsi="Times New Roman" w:cs="Times New Roman"/>
          <w:color w:val="auto"/>
          <w:lang w:val="en-US" w:eastAsia="zh-CN"/>
        </w:rPr>
        <w:t>将被校准的</w:t>
      </w:r>
      <w:r>
        <w:rPr>
          <w:rFonts w:hint="eastAsia" w:cs="Times New Roman"/>
          <w:color w:val="auto"/>
          <w:lang w:val="en-US" w:eastAsia="zh-CN"/>
        </w:rPr>
        <w:t>放疗</w:t>
      </w:r>
      <w:r>
        <w:rPr>
          <w:rFonts w:hint="default" w:ascii="Times New Roman" w:hAnsi="Times New Roman" w:cs="Times New Roman"/>
          <w:color w:val="auto"/>
          <w:lang w:val="en-US" w:eastAsia="zh-CN"/>
        </w:rPr>
        <w:t>束范围扩展至</w:t>
      </w:r>
      <w:r>
        <w:rPr>
          <w:rFonts w:hint="default" w:ascii="Times New Roman" w:hAnsi="Times New Roman" w:cs="Times New Roman"/>
          <w:color w:val="auto"/>
          <w:vertAlign w:val="superscript"/>
          <w:lang w:val="en-US" w:eastAsia="zh-CN"/>
        </w:rPr>
        <w:t>60</w:t>
      </w:r>
      <w:r>
        <w:rPr>
          <w:rFonts w:hint="default" w:ascii="Times New Roman" w:hAnsi="Times New Roman" w:cs="Times New Roman"/>
          <w:color w:val="auto"/>
          <w:lang w:val="en-US" w:eastAsia="zh-CN"/>
        </w:rPr>
        <w:t>Co</w:t>
      </w:r>
      <w:r>
        <w:rPr>
          <w:rFonts w:hint="eastAsia" w:cs="Times New Roman"/>
          <w:color w:val="auto"/>
          <w:lang w:val="en-US" w:eastAsia="zh-CN"/>
        </w:rPr>
        <w:t xml:space="preserve"> </w:t>
      </w:r>
      <w:r>
        <w:rPr>
          <w:rFonts w:hint="default" w:ascii="Times New Roman" w:hAnsi="Times New Roman" w:cs="Times New Roman"/>
          <w:color w:val="auto"/>
          <w:lang w:val="en-US" w:eastAsia="zh-CN"/>
        </w:rPr>
        <w:t>γ</w:t>
      </w:r>
      <w:r>
        <w:rPr>
          <w:rFonts w:hint="eastAsia" w:cs="Times New Roman"/>
          <w:color w:val="auto"/>
          <w:lang w:val="en-US" w:eastAsia="zh-CN"/>
        </w:rPr>
        <w:t xml:space="preserve"> </w:t>
      </w:r>
      <w:r>
        <w:rPr>
          <w:rFonts w:hint="default" w:ascii="Times New Roman" w:hAnsi="Times New Roman" w:cs="Times New Roman"/>
          <w:color w:val="auto"/>
          <w:lang w:val="en-US" w:eastAsia="zh-CN"/>
        </w:rPr>
        <w:t>射线、医用电子直线加速器产生的高能光子束和电子束、以及</w:t>
      </w:r>
      <w:r>
        <w:rPr>
          <w:rFonts w:hint="eastAsia" w:cs="Times New Roman"/>
          <w:color w:val="auto"/>
          <w:lang w:val="en-US" w:eastAsia="zh-CN"/>
        </w:rPr>
        <w:t>轻离子</w:t>
      </w:r>
      <w:r>
        <w:rPr>
          <w:rFonts w:hint="default" w:ascii="Times New Roman" w:hAnsi="Times New Roman" w:cs="Times New Roman"/>
          <w:color w:val="auto"/>
          <w:lang w:val="en-US" w:eastAsia="zh-CN"/>
        </w:rPr>
        <w:t>质子放射治疗系统产生</w:t>
      </w:r>
      <w:r>
        <w:rPr>
          <w:rFonts w:hint="eastAsia" w:cs="Times New Roman"/>
          <w:color w:val="auto"/>
          <w:lang w:val="en-US" w:eastAsia="zh-CN"/>
        </w:rPr>
        <w:t>碳</w:t>
      </w:r>
      <w:r>
        <w:rPr>
          <w:rFonts w:hint="default" w:ascii="Times New Roman" w:hAnsi="Times New Roman" w:cs="Times New Roman"/>
          <w:color w:val="auto"/>
          <w:lang w:val="en-US" w:eastAsia="zh-CN"/>
        </w:rPr>
        <w:t>离子和质子束</w:t>
      </w:r>
      <w:r>
        <w:rPr>
          <w:rFonts w:hint="default" w:ascii="Times New Roman" w:hAnsi="Times New Roman" w:cs="Times New Roman"/>
          <w:color w:val="auto"/>
          <w:lang w:eastAsia="zh-CN"/>
        </w:rPr>
        <w:t>（</w:t>
      </w:r>
      <w:r>
        <w:rPr>
          <w:rFonts w:hint="default" w:ascii="Times New Roman" w:hAnsi="Times New Roman" w:cs="Times New Roman"/>
          <w:color w:val="auto"/>
        </w:rPr>
        <w:t>见1</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w:t>
      </w:r>
    </w:p>
    <w:p>
      <w:pPr>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rPr>
        <w:t>——根据被校对象的变化，对计量特性进行了增减和修改</w:t>
      </w:r>
      <w:r>
        <w:rPr>
          <w:rFonts w:hint="default" w:ascii="Times New Roman" w:hAnsi="Times New Roman" w:cs="Times New Roman"/>
          <w:color w:val="auto"/>
          <w:lang w:eastAsia="zh-CN"/>
        </w:rPr>
        <w:t>（</w:t>
      </w:r>
      <w:r>
        <w:rPr>
          <w:rFonts w:hint="default" w:ascii="Times New Roman" w:hAnsi="Times New Roman" w:cs="Times New Roman"/>
          <w:color w:val="auto"/>
        </w:rPr>
        <w:t>见</w:t>
      </w:r>
      <w:r>
        <w:rPr>
          <w:rFonts w:hint="default" w:ascii="Times New Roman" w:hAnsi="Times New Roman" w:cs="Times New Roman"/>
          <w:color w:val="auto"/>
          <w:lang w:val="en-US" w:eastAsia="zh-CN"/>
        </w:rPr>
        <w:t>5</w:t>
      </w:r>
      <w:r>
        <w:rPr>
          <w:rFonts w:hint="default" w:ascii="Times New Roman" w:hAnsi="Times New Roman" w:cs="Times New Roman"/>
          <w:color w:val="auto"/>
          <w:lang w:eastAsia="zh-CN"/>
        </w:rPr>
        <w:t>）</w:t>
      </w:r>
      <w:r>
        <w:rPr>
          <w:rFonts w:hint="default" w:ascii="Times New Roman" w:hAnsi="Times New Roman" w:cs="Times New Roman"/>
          <w:color w:val="auto"/>
        </w:rPr>
        <w:t>；</w:t>
      </w:r>
    </w:p>
    <w:p>
      <w:pPr>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rPr>
        <w:t>——根据对校准项目和校准方法的增减或修改，对引用文件、名词术语及测量标准和其他设备进行了增减和修改</w:t>
      </w:r>
      <w:r>
        <w:rPr>
          <w:rFonts w:hint="default" w:ascii="Times New Roman" w:hAnsi="Times New Roman" w:cs="Times New Roman"/>
          <w:color w:val="auto"/>
          <w:lang w:eastAsia="zh-CN"/>
        </w:rPr>
        <w:t>（</w:t>
      </w:r>
      <w:r>
        <w:rPr>
          <w:rFonts w:hint="default" w:ascii="Times New Roman" w:hAnsi="Times New Roman" w:cs="Times New Roman"/>
          <w:color w:val="auto"/>
        </w:rPr>
        <w:t>见2、3、6</w:t>
      </w:r>
      <w:r>
        <w:rPr>
          <w:rFonts w:hint="default" w:ascii="Times New Roman" w:hAnsi="Times New Roman" w:cs="Times New Roman"/>
          <w:color w:val="auto"/>
          <w:lang w:val="en-US" w:eastAsia="zh-CN"/>
        </w:rPr>
        <w:t>和</w:t>
      </w:r>
      <w:r>
        <w:rPr>
          <w:rFonts w:hint="default" w:ascii="Times New Roman" w:hAnsi="Times New Roman" w:cs="Times New Roman"/>
          <w:color w:val="auto"/>
        </w:rPr>
        <w:t>7</w:t>
      </w:r>
      <w:r>
        <w:rPr>
          <w:rFonts w:hint="default" w:ascii="Times New Roman" w:hAnsi="Times New Roman" w:cs="Times New Roman"/>
          <w:color w:val="auto"/>
          <w:lang w:eastAsia="zh-CN"/>
        </w:rPr>
        <w:t>）</w:t>
      </w:r>
      <w:r>
        <w:rPr>
          <w:rFonts w:hint="default" w:ascii="Times New Roman" w:hAnsi="Times New Roman" w:cs="Times New Roman"/>
          <w:color w:val="auto"/>
        </w:rPr>
        <w:t>；</w:t>
      </w:r>
    </w:p>
    <w:p>
      <w:pPr>
        <w:spacing w:line="360" w:lineRule="auto"/>
        <w:ind w:firstLine="480" w:firstLineChars="200"/>
        <w:rPr>
          <w:rFonts w:hint="default" w:cs="Times New Roman"/>
          <w:color w:val="auto"/>
          <w:lang w:eastAsia="zh-CN"/>
        </w:rPr>
      </w:pPr>
      <w:r>
        <w:rPr>
          <w:rFonts w:hint="default" w:ascii="Times New Roman" w:hAnsi="Times New Roman" w:cs="Times New Roman"/>
          <w:color w:val="auto"/>
        </w:rPr>
        <w:t>——根据</w:t>
      </w:r>
      <w:r>
        <w:rPr>
          <w:rFonts w:hint="default" w:ascii="Times New Roman" w:hAnsi="Times New Roman" w:cs="Times New Roman"/>
          <w:color w:val="auto"/>
          <w:lang w:val="en-US" w:eastAsia="zh-CN"/>
        </w:rPr>
        <w:t>校准</w:t>
      </w:r>
      <w:r>
        <w:rPr>
          <w:rFonts w:hint="default" w:ascii="Times New Roman" w:hAnsi="Times New Roman" w:cs="Times New Roman"/>
          <w:color w:val="auto"/>
        </w:rPr>
        <w:t>内容对附录进行了增减和修改</w:t>
      </w:r>
      <w:r>
        <w:rPr>
          <w:rFonts w:hint="default" w:ascii="Times New Roman" w:hAnsi="Times New Roman" w:cs="Times New Roman"/>
          <w:color w:val="auto"/>
          <w:lang w:eastAsia="zh-CN"/>
        </w:rPr>
        <w:t>（</w:t>
      </w:r>
      <w:r>
        <w:rPr>
          <w:rFonts w:hint="default" w:ascii="Times New Roman" w:hAnsi="Times New Roman" w:cs="Times New Roman"/>
          <w:color w:val="auto"/>
        </w:rPr>
        <w:t>见附录A、B</w:t>
      </w:r>
      <w:r>
        <w:rPr>
          <w:rFonts w:hint="default" w:ascii="Times New Roman" w:hAnsi="Times New Roman" w:cs="Times New Roman"/>
          <w:color w:val="auto"/>
          <w:lang w:eastAsia="zh-CN"/>
        </w:rPr>
        <w:t>）</w:t>
      </w:r>
      <w:r>
        <w:rPr>
          <w:rFonts w:hint="eastAsia" w:cs="Times New Roman"/>
          <w:color w:val="auto"/>
          <w:lang w:eastAsia="zh-CN"/>
        </w:rPr>
        <w:t>；</w:t>
      </w:r>
    </w:p>
    <w:p>
      <w:pPr>
        <w:spacing w:line="360" w:lineRule="auto"/>
        <w:ind w:firstLine="480" w:firstLineChars="200"/>
        <w:rPr>
          <w:rFonts w:hint="default" w:ascii="Times New Roman" w:hAnsi="Times New Roman" w:cs="Times New Roman"/>
          <w:color w:val="auto"/>
        </w:rPr>
      </w:pPr>
      <w:r>
        <w:rPr>
          <w:rFonts w:hint="default" w:ascii="Times New Roman" w:hAnsi="Times New Roman" w:cs="Times New Roman"/>
          <w:color w:val="auto"/>
        </w:rPr>
        <w:t>本规范为首次发布</w:t>
      </w:r>
      <w:r>
        <w:rPr>
          <w:rFonts w:hint="default" w:ascii="Times New Roman" w:hAnsi="Times New Roman" w:cs="Times New Roman"/>
          <w:color w:val="auto"/>
          <w:lang w:eastAsia="zh-CN"/>
        </w:rPr>
        <w:t>，替代JJG1019-90</w:t>
      </w:r>
      <w:r>
        <w:rPr>
          <w:rFonts w:hint="default" w:ascii="Times New Roman" w:hAnsi="Times New Roman" w:cs="Times New Roman"/>
          <w:color w:val="auto"/>
        </w:rPr>
        <w:t>。</w:t>
      </w:r>
    </w:p>
    <w:p>
      <w:pPr>
        <w:spacing w:line="360" w:lineRule="auto"/>
        <w:ind w:firstLine="480" w:firstLineChars="200"/>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sz w:val="32"/>
        </w:rPr>
        <w:sectPr>
          <w:pgSz w:w="11906" w:h="16838"/>
          <w:pgMar w:top="1524" w:right="1274" w:bottom="567" w:left="1134" w:header="851" w:footer="992" w:gutter="0"/>
          <w:pgNumType w:fmt="upperRoman" w:start="1"/>
          <w:cols w:space="425" w:num="1"/>
          <w:docGrid w:type="lines" w:linePitch="312" w:charSpace="0"/>
        </w:sectPr>
      </w:pPr>
      <w:bookmarkStart w:id="5" w:name="_Toc333931937"/>
      <w:bookmarkStart w:id="6" w:name="_Toc333929058"/>
    </w:p>
    <w:bookmarkEnd w:id="5"/>
    <w:bookmarkEnd w:id="6"/>
    <w:p>
      <w:pPr>
        <w:keepNext w:val="0"/>
        <w:keepLines w:val="0"/>
        <w:pageBreakBefore w:val="0"/>
        <w:widowControl w:val="0"/>
        <w:kinsoku/>
        <w:wordWrap/>
        <w:overflowPunct/>
        <w:topLinePunct w:val="0"/>
        <w:autoSpaceDE/>
        <w:autoSpaceDN/>
        <w:bidi w:val="0"/>
        <w:adjustRightInd/>
        <w:snapToGrid/>
        <w:ind w:firstLine="482" w:firstLineChars="150"/>
        <w:jc w:val="center"/>
        <w:textAlignment w:val="auto"/>
        <w:outlineLvl w:val="9"/>
        <w:rPr>
          <w:rFonts w:hint="default" w:ascii="Times New Roman" w:hAnsi="Times New Roman" w:cs="Times New Roman"/>
          <w:b/>
          <w:color w:val="auto"/>
          <w:sz w:val="32"/>
        </w:rPr>
      </w:pPr>
      <w:r>
        <w:rPr>
          <w:rFonts w:hint="default" w:ascii="Times New Roman" w:hAnsi="Times New Roman" w:cs="Times New Roman"/>
          <w:b/>
          <w:color w:val="auto"/>
          <w:sz w:val="32"/>
          <w:lang w:val="en-US" w:eastAsia="zh-CN"/>
        </w:rPr>
        <w:t>固体剂量计邮寄核验放疗水吸收剂量校准规范</w:t>
      </w:r>
    </w:p>
    <w:p>
      <w:pPr>
        <w:pStyle w:val="3"/>
        <w:numPr>
          <w:ilvl w:val="0"/>
          <w:numId w:val="0"/>
        </w:numPr>
        <w:spacing w:before="156" w:beforeLines="50" w:after="156" w:afterLines="50" w:line="360" w:lineRule="auto"/>
        <w:ind w:right="240"/>
        <w:rPr>
          <w:rFonts w:hint="default" w:ascii="Times New Roman" w:hAnsi="Times New Roman" w:cs="Times New Roman"/>
          <w:b w:val="0"/>
          <w:color w:val="auto"/>
        </w:rPr>
      </w:pPr>
      <w:bookmarkStart w:id="7" w:name="_Toc146027191"/>
      <w:bookmarkStart w:id="8" w:name="_Toc373698929"/>
      <w:bookmarkStart w:id="9" w:name="_Toc373339087"/>
      <w:bookmarkStart w:id="10" w:name="_Toc14152"/>
      <w:bookmarkStart w:id="11" w:name="_Toc10512"/>
      <w:bookmarkStart w:id="12" w:name="_Toc20578"/>
      <w:bookmarkStart w:id="13" w:name="_Toc28450"/>
      <w:r>
        <w:rPr>
          <w:rFonts w:hint="default" w:ascii="Times New Roman" w:hAnsi="Times New Roman" w:cs="Times New Roman"/>
          <w:b w:val="0"/>
          <w:color w:val="auto"/>
        </w:rPr>
        <w:t>1　范围</w:t>
      </w:r>
      <w:bookmarkEnd w:id="7"/>
      <w:bookmarkEnd w:id="8"/>
      <w:bookmarkEnd w:id="9"/>
      <w:bookmarkEnd w:id="10"/>
      <w:bookmarkEnd w:id="11"/>
      <w:bookmarkEnd w:id="12"/>
      <w:bookmarkEnd w:id="13"/>
    </w:p>
    <w:p>
      <w:pPr>
        <w:ind w:left="-5" w:leftChars="-2" w:firstLine="480" w:firstLineChars="200"/>
        <w:rPr>
          <w:rFonts w:hint="default" w:ascii="Times New Roman" w:hAnsi="Times New Roman" w:eastAsia="宋体" w:cs="Times New Roman"/>
          <w:color w:val="auto"/>
          <w:lang w:val="en-US" w:eastAsia="zh-CN"/>
        </w:rPr>
      </w:pPr>
      <w:r>
        <w:rPr>
          <w:rFonts w:hint="default" w:ascii="Times New Roman" w:hAnsi="Times New Roman" w:cs="Times New Roman"/>
          <w:color w:val="auto"/>
        </w:rPr>
        <w:t>本规范适用于</w:t>
      </w:r>
      <w:r>
        <w:rPr>
          <w:rFonts w:hint="default" w:ascii="Times New Roman" w:hAnsi="Times New Roman" w:cs="Times New Roman"/>
          <w:color w:val="auto"/>
          <w:lang w:val="en-US" w:eastAsia="zh-CN"/>
        </w:rPr>
        <w:t>采用固体剂量计，包括丙氨酸剂量计、</w:t>
      </w:r>
      <w:r>
        <w:rPr>
          <w:rFonts w:hint="eastAsia" w:cs="Times New Roman"/>
          <w:color w:val="auto"/>
          <w:lang w:val="en-US" w:eastAsia="zh-CN"/>
        </w:rPr>
        <w:t>光释</w:t>
      </w:r>
      <w:r>
        <w:rPr>
          <w:rFonts w:hint="default" w:ascii="Times New Roman" w:hAnsi="Times New Roman" w:cs="Times New Roman"/>
          <w:color w:val="auto"/>
          <w:lang w:val="en-US" w:eastAsia="zh-CN"/>
        </w:rPr>
        <w:t>光剂量计</w:t>
      </w:r>
      <w:r>
        <w:rPr>
          <w:rFonts w:hint="eastAsia" w:cs="Times New Roman"/>
          <w:color w:val="auto"/>
          <w:lang w:val="en-US" w:eastAsia="zh-CN"/>
        </w:rPr>
        <w:t>、</w:t>
      </w:r>
      <w:r>
        <w:rPr>
          <w:rFonts w:hint="default" w:ascii="Times New Roman" w:hAnsi="Times New Roman" w:cs="Times New Roman"/>
          <w:color w:val="auto"/>
          <w:lang w:val="en-US" w:eastAsia="zh-CN"/>
        </w:rPr>
        <w:t>热释光剂量计</w:t>
      </w:r>
      <w:r>
        <w:rPr>
          <w:rFonts w:hint="eastAsia" w:cs="Times New Roman"/>
          <w:color w:val="auto"/>
          <w:lang w:val="en-US" w:eastAsia="zh-CN"/>
        </w:rPr>
        <w:t>和辐射光致发光剂量计</w:t>
      </w:r>
      <w:r>
        <w:rPr>
          <w:rFonts w:hint="default" w:ascii="Times New Roman" w:hAnsi="Times New Roman" w:cs="Times New Roman"/>
          <w:color w:val="auto"/>
          <w:lang w:val="en-US" w:eastAsia="zh-CN"/>
        </w:rPr>
        <w:t>测量</w:t>
      </w:r>
      <w:r>
        <w:rPr>
          <w:rFonts w:hint="default" w:ascii="Times New Roman" w:hAnsi="Times New Roman" w:cs="Times New Roman"/>
          <w:color w:val="auto"/>
          <w:vertAlign w:val="superscript"/>
          <w:lang w:val="en-US" w:eastAsia="zh-CN"/>
        </w:rPr>
        <w:t>60</w:t>
      </w:r>
      <w:r>
        <w:rPr>
          <w:rFonts w:hint="default" w:ascii="Times New Roman" w:hAnsi="Times New Roman" w:cs="Times New Roman"/>
          <w:color w:val="auto"/>
          <w:lang w:val="en-US" w:eastAsia="zh-CN"/>
        </w:rPr>
        <w:t>Co远距离治疗机、医用电子直线加速器和</w:t>
      </w:r>
      <w:r>
        <w:rPr>
          <w:rFonts w:hint="eastAsia" w:cs="Times New Roman"/>
          <w:color w:val="auto"/>
          <w:lang w:val="en-US" w:eastAsia="zh-CN"/>
        </w:rPr>
        <w:t>轻离子</w:t>
      </w:r>
      <w:r>
        <w:rPr>
          <w:rFonts w:hint="default" w:ascii="Times New Roman" w:hAnsi="Times New Roman" w:cs="Times New Roman"/>
          <w:color w:val="auto"/>
          <w:lang w:val="en-US" w:eastAsia="zh-CN"/>
        </w:rPr>
        <w:t>质子放射治疗系统水吸收剂量的校准规范</w:t>
      </w:r>
      <w:r>
        <w:rPr>
          <w:rFonts w:hint="default" w:ascii="Times New Roman" w:hAnsi="Times New Roman" w:cs="Times New Roman"/>
          <w:color w:val="auto"/>
        </w:rPr>
        <w:t>。</w:t>
      </w:r>
    </w:p>
    <w:p>
      <w:pPr>
        <w:pStyle w:val="3"/>
        <w:numPr>
          <w:ilvl w:val="0"/>
          <w:numId w:val="0"/>
        </w:numPr>
        <w:spacing w:before="156" w:beforeLines="50" w:after="156" w:afterLines="50" w:line="360" w:lineRule="auto"/>
        <w:ind w:right="240"/>
        <w:rPr>
          <w:rFonts w:hint="default" w:ascii="Times New Roman" w:hAnsi="Times New Roman" w:cs="Times New Roman"/>
          <w:b w:val="0"/>
          <w:color w:val="auto"/>
        </w:rPr>
      </w:pPr>
      <w:bookmarkStart w:id="14" w:name="_Toc25454"/>
      <w:bookmarkStart w:id="15" w:name="_Toc663"/>
      <w:bookmarkStart w:id="16" w:name="_Toc19628"/>
      <w:bookmarkStart w:id="17" w:name="_Toc373698930"/>
      <w:bookmarkStart w:id="18" w:name="_Toc146027192"/>
      <w:bookmarkStart w:id="19" w:name="_Toc373339088"/>
      <w:bookmarkStart w:id="20" w:name="_Toc12767"/>
      <w:r>
        <w:rPr>
          <w:rFonts w:hint="default" w:ascii="Times New Roman" w:hAnsi="Times New Roman" w:cs="Times New Roman"/>
          <w:b w:val="0"/>
          <w:color w:val="auto"/>
        </w:rPr>
        <w:t>2　引用文件</w:t>
      </w:r>
      <w:bookmarkEnd w:id="14"/>
      <w:bookmarkEnd w:id="15"/>
      <w:bookmarkEnd w:id="16"/>
      <w:bookmarkEnd w:id="17"/>
      <w:bookmarkEnd w:id="18"/>
      <w:bookmarkEnd w:id="19"/>
      <w:bookmarkEnd w:id="20"/>
    </w:p>
    <w:p>
      <w:pPr>
        <w:spacing w:line="360" w:lineRule="auto"/>
        <w:ind w:firstLine="484" w:firstLineChars="202"/>
        <w:rPr>
          <w:rFonts w:hint="default" w:ascii="Times New Roman" w:hAnsi="Times New Roman" w:cs="Times New Roman"/>
          <w:color w:val="auto"/>
        </w:rPr>
      </w:pPr>
      <w:r>
        <w:rPr>
          <w:rFonts w:hint="default" w:ascii="Times New Roman" w:hAnsi="Times New Roman" w:cs="Times New Roman"/>
          <w:color w:val="auto"/>
        </w:rPr>
        <w:t>本规范引用了下列文件：</w:t>
      </w:r>
    </w:p>
    <w:p>
      <w:pPr>
        <w:pStyle w:val="110"/>
        <w:spacing w:line="360" w:lineRule="auto"/>
        <w:ind w:left="0" w:firstLine="484" w:firstLineChars="202"/>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JJG</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lang w:val="en-US" w:eastAsia="zh-CN"/>
        </w:rPr>
        <w:t>589</w:t>
      </w:r>
      <w:r>
        <w:rPr>
          <w:rFonts w:hint="eastAsia" w:ascii="Times New Roman" w:hAnsi="Times New Roman" w:cs="Times New Roman"/>
          <w:color w:val="auto"/>
          <w:sz w:val="24"/>
          <w:lang w:val="en-US" w:eastAsia="zh-CN"/>
        </w:rPr>
        <w:t xml:space="preserve"> </w:t>
      </w:r>
      <w:r>
        <w:rPr>
          <w:rFonts w:hint="default" w:ascii="Times New Roman" w:hAnsi="Times New Roman" w:cs="Times New Roman"/>
          <w:color w:val="auto"/>
          <w:sz w:val="24"/>
          <w:lang w:val="en-US" w:eastAsia="zh-CN"/>
        </w:rPr>
        <w:t xml:space="preserve">医用电子加速器辐射源检定规程 </w:t>
      </w:r>
    </w:p>
    <w:p>
      <w:pPr>
        <w:pStyle w:val="110"/>
        <w:spacing w:line="360" w:lineRule="auto"/>
        <w:ind w:left="0" w:firstLine="484" w:firstLineChars="202"/>
        <w:rPr>
          <w:rFonts w:hint="default" w:ascii="Times New Roman" w:hAnsi="Times New Roman" w:cs="Times New Roman"/>
          <w:color w:val="auto"/>
          <w:kern w:val="2"/>
          <w:sz w:val="24"/>
          <w:szCs w:val="24"/>
          <w:lang w:val="en-US" w:eastAsia="zh-CN" w:bidi="ar-SA"/>
        </w:rPr>
      </w:pPr>
      <w:r>
        <w:rPr>
          <w:rFonts w:hint="default" w:ascii="Times New Roman" w:hAnsi="Times New Roman" w:cs="Times New Roman"/>
          <w:color w:val="auto"/>
          <w:kern w:val="2"/>
          <w:sz w:val="24"/>
          <w:szCs w:val="24"/>
          <w:lang w:eastAsia="zh-CN" w:bidi="ar-SA"/>
        </w:rPr>
        <w:t>JJG 912</w:t>
      </w:r>
      <w:r>
        <w:rPr>
          <w:rFonts w:hint="default" w:ascii="Times New Roman" w:hAnsi="Times New Roman" w:cs="Times New Roman"/>
          <w:color w:val="auto"/>
          <w:kern w:val="2"/>
          <w:sz w:val="24"/>
          <w:szCs w:val="24"/>
          <w:lang w:val="en-US" w:eastAsia="zh-CN" w:bidi="ar-SA"/>
        </w:rPr>
        <w:t xml:space="preserve"> </w:t>
      </w:r>
      <w:r>
        <w:rPr>
          <w:rFonts w:hint="default" w:ascii="Times New Roman" w:hAnsi="Times New Roman" w:cs="Times New Roman"/>
          <w:color w:val="auto"/>
          <w:kern w:val="2"/>
          <w:sz w:val="24"/>
          <w:szCs w:val="24"/>
          <w:lang w:eastAsia="zh-CN" w:bidi="ar-SA"/>
        </w:rPr>
        <w:t>治疗水平电离室剂量计</w:t>
      </w:r>
      <w:r>
        <w:rPr>
          <w:rFonts w:hint="default" w:ascii="Times New Roman" w:hAnsi="Times New Roman" w:cs="Times New Roman"/>
          <w:color w:val="auto"/>
          <w:kern w:val="2"/>
          <w:sz w:val="24"/>
          <w:szCs w:val="24"/>
          <w:lang w:val="en-US" w:eastAsia="zh-CN" w:bidi="ar-SA"/>
        </w:rPr>
        <w:t xml:space="preserve"> </w:t>
      </w:r>
    </w:p>
    <w:p>
      <w:pPr>
        <w:pStyle w:val="110"/>
        <w:spacing w:line="360" w:lineRule="auto"/>
        <w:ind w:left="0" w:firstLine="484" w:firstLineChars="202"/>
        <w:rPr>
          <w:rFonts w:hint="default" w:ascii="Times New Roman" w:hAnsi="Times New Roman" w:cs="Times New Roman"/>
          <w:color w:val="auto"/>
          <w:kern w:val="2"/>
          <w:sz w:val="24"/>
          <w:szCs w:val="24"/>
          <w:lang w:val="en-US" w:eastAsia="zh-CN" w:bidi="ar-SA"/>
        </w:rPr>
      </w:pPr>
      <w:r>
        <w:rPr>
          <w:rFonts w:hint="default" w:ascii="Times New Roman" w:hAnsi="Times New Roman" w:cs="Times New Roman"/>
          <w:color w:val="auto"/>
          <w:kern w:val="2"/>
          <w:sz w:val="24"/>
          <w:szCs w:val="24"/>
          <w:lang w:eastAsia="zh-CN" w:bidi="ar-SA"/>
        </w:rPr>
        <w:t>JJF1743</w:t>
      </w:r>
      <w:r>
        <w:rPr>
          <w:rFonts w:hint="default" w:ascii="Times New Roman" w:hAnsi="Times New Roman" w:cs="Times New Roman"/>
          <w:color w:val="auto"/>
          <w:kern w:val="2"/>
          <w:sz w:val="24"/>
          <w:szCs w:val="24"/>
          <w:lang w:val="en-US" w:eastAsia="zh-CN" w:bidi="ar-SA"/>
        </w:rPr>
        <w:t xml:space="preserve"> </w:t>
      </w:r>
      <w:r>
        <w:rPr>
          <w:rFonts w:hint="default" w:ascii="Times New Roman" w:hAnsi="Times New Roman" w:cs="Times New Roman"/>
          <w:color w:val="auto"/>
          <w:kern w:val="2"/>
          <w:sz w:val="24"/>
          <w:szCs w:val="24"/>
          <w:lang w:eastAsia="zh-CN" w:bidi="ar-SA"/>
        </w:rPr>
        <w:t>放射治疗用电离室剂量计水吸收剂量校准规范</w:t>
      </w:r>
      <w:r>
        <w:rPr>
          <w:rFonts w:hint="default" w:ascii="Times New Roman" w:hAnsi="Times New Roman" w:cs="Times New Roman"/>
          <w:color w:val="auto"/>
          <w:kern w:val="2"/>
          <w:sz w:val="24"/>
          <w:szCs w:val="24"/>
          <w:lang w:val="en-US" w:eastAsia="zh-CN" w:bidi="ar-SA"/>
        </w:rPr>
        <w:t xml:space="preserve"> </w:t>
      </w:r>
    </w:p>
    <w:p>
      <w:pPr>
        <w:pStyle w:val="110"/>
        <w:spacing w:line="360" w:lineRule="auto"/>
        <w:ind w:left="0" w:firstLine="484" w:firstLineChars="202"/>
        <w:rPr>
          <w:rFonts w:hint="default" w:ascii="Times New Roman" w:hAnsi="Times New Roman" w:cs="Times New Roman"/>
          <w:color w:val="auto"/>
          <w:kern w:val="2"/>
          <w:sz w:val="24"/>
          <w:szCs w:val="24"/>
          <w:lang w:val="en-US" w:eastAsia="zh-CN" w:bidi="ar-SA"/>
        </w:rPr>
      </w:pPr>
      <w:r>
        <w:rPr>
          <w:rFonts w:hint="default" w:ascii="Times New Roman" w:hAnsi="Times New Roman" w:cs="Times New Roman"/>
          <w:color w:val="auto"/>
          <w:kern w:val="2"/>
          <w:sz w:val="24"/>
          <w:szCs w:val="24"/>
          <w:lang w:val="en-US" w:eastAsia="zh-CN" w:bidi="ar-SA"/>
        </w:rPr>
        <w:t>NCC/T-RT 002 基于水吸收剂量校准因子的高能光子束和电子束吸收剂量测定指南</w:t>
      </w:r>
    </w:p>
    <w:p>
      <w:pPr>
        <w:pStyle w:val="110"/>
        <w:spacing w:line="360" w:lineRule="auto"/>
        <w:ind w:left="0" w:firstLine="484" w:firstLineChars="202"/>
        <w:jc w:val="both"/>
        <w:rPr>
          <w:rFonts w:hint="default" w:ascii="Times New Roman" w:hAnsi="Times New Roman" w:cs="Times New Roman"/>
          <w:color w:val="auto"/>
          <w:kern w:val="2"/>
          <w:sz w:val="24"/>
          <w:szCs w:val="24"/>
          <w:lang w:val="en-US" w:eastAsia="zh-CN" w:bidi="ar-SA"/>
        </w:rPr>
      </w:pPr>
      <w:r>
        <w:rPr>
          <w:rFonts w:hint="default" w:ascii="Times New Roman" w:hAnsi="Times New Roman" w:cs="Times New Roman"/>
          <w:color w:val="auto"/>
          <w:kern w:val="2"/>
          <w:sz w:val="24"/>
          <w:szCs w:val="24"/>
          <w:lang w:val="en-US" w:eastAsia="zh-CN" w:bidi="ar-SA"/>
        </w:rPr>
        <w:t>IAEA</w:t>
      </w:r>
      <w:r>
        <w:rPr>
          <w:rFonts w:hint="default" w:ascii="Times New Roman" w:hAnsi="Times New Roman" w:cs="Times New Roman"/>
          <w:color w:val="auto"/>
          <w:kern w:val="2"/>
          <w:sz w:val="24"/>
          <w:szCs w:val="24"/>
          <w:lang w:eastAsia="zh-CN" w:bidi="ar-SA"/>
        </w:rPr>
        <w:t xml:space="preserve"> </w:t>
      </w:r>
      <w:r>
        <w:rPr>
          <w:rFonts w:hint="default" w:ascii="Times New Roman" w:hAnsi="Times New Roman" w:cs="Times New Roman"/>
          <w:color w:val="auto"/>
          <w:kern w:val="2"/>
          <w:sz w:val="24"/>
          <w:szCs w:val="24"/>
          <w:lang w:val="en-US" w:eastAsia="zh-CN" w:bidi="ar-SA"/>
        </w:rPr>
        <w:t>TRS-398 外照射放射治疗束吸收剂量测定：基于水吸收剂量标准的剂量测定国际实施规程</w:t>
      </w:r>
      <w:r>
        <w:rPr>
          <w:rFonts w:hint="default" w:ascii="Times New Roman" w:hAnsi="Times New Roman" w:cs="Times New Roman"/>
          <w:color w:val="auto"/>
          <w:kern w:val="2"/>
          <w:sz w:val="24"/>
          <w:szCs w:val="24"/>
          <w:lang w:eastAsia="zh-CN" w:bidi="ar-SA"/>
        </w:rPr>
        <w:t>（Absorbed Dose Determination in External Beam Radiotherapy: An International Code of Practice for Dosimetry Based on Standards of Absorbed Dose to Water）</w:t>
      </w:r>
    </w:p>
    <w:p>
      <w:pPr>
        <w:pStyle w:val="110"/>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kern w:val="2"/>
          <w:sz w:val="24"/>
          <w:szCs w:val="24"/>
          <w:lang w:eastAsia="zh-CN" w:bidi="ar-SA"/>
        </w:rPr>
      </w:pPr>
      <w:r>
        <w:rPr>
          <w:rFonts w:hint="default" w:ascii="Times New Roman" w:hAnsi="Times New Roman" w:cs="Times New Roman"/>
          <w:color w:val="auto"/>
          <w:sz w:val="24"/>
          <w:lang w:eastAsia="zh-CN"/>
        </w:rPr>
        <w:t>凡是注日期的引用文件，仅注日期的版本适用于本规范；</w:t>
      </w:r>
      <w:r>
        <w:rPr>
          <w:rFonts w:hint="default" w:ascii="Times New Roman" w:hAnsi="Times New Roman" w:cs="Times New Roman"/>
          <w:color w:val="auto"/>
          <w:kern w:val="2"/>
          <w:sz w:val="24"/>
          <w:szCs w:val="24"/>
          <w:lang w:eastAsia="zh-CN" w:bidi="ar-SA"/>
        </w:rPr>
        <w:t>凡是不注日期的引用文件</w:t>
      </w:r>
      <w:r>
        <w:rPr>
          <w:rFonts w:hint="default" w:ascii="Times New Roman" w:hAnsi="Times New Roman" w:cs="Times New Roman"/>
          <w:color w:val="auto"/>
          <w:kern w:val="2"/>
          <w:sz w:val="24"/>
          <w:szCs w:val="24"/>
          <w:lang w:eastAsia="zh-CN" w:bidi="ar-SA"/>
        </w:rPr>
        <w:t>，其最新版本（包括所有的修改单）适用于本规范。</w:t>
      </w:r>
    </w:p>
    <w:p>
      <w:pPr>
        <w:pStyle w:val="3"/>
        <w:numPr>
          <w:ilvl w:val="0"/>
          <w:numId w:val="0"/>
        </w:numPr>
        <w:spacing w:before="156" w:beforeLines="50" w:after="156" w:afterLines="50" w:line="360" w:lineRule="auto"/>
        <w:ind w:right="240"/>
        <w:rPr>
          <w:rFonts w:hint="default" w:ascii="Times New Roman" w:hAnsi="Times New Roman" w:cs="Times New Roman"/>
          <w:b w:val="0"/>
          <w:color w:val="auto"/>
        </w:rPr>
      </w:pPr>
      <w:bookmarkStart w:id="21" w:name="_Toc373698931"/>
      <w:bookmarkStart w:id="22" w:name="_Toc146027193"/>
      <w:bookmarkStart w:id="23" w:name="_Toc373339089"/>
      <w:bookmarkStart w:id="24" w:name="_Toc25614"/>
      <w:bookmarkStart w:id="25" w:name="_Toc32181"/>
      <w:bookmarkStart w:id="26" w:name="_Toc6296"/>
      <w:bookmarkStart w:id="27" w:name="_Toc31132"/>
      <w:r>
        <w:rPr>
          <w:rFonts w:hint="default" w:ascii="Times New Roman" w:hAnsi="Times New Roman" w:cs="Times New Roman"/>
          <w:b w:val="0"/>
          <w:color w:val="auto"/>
        </w:rPr>
        <w:t>3　术语和计量单位</w:t>
      </w:r>
      <w:bookmarkEnd w:id="21"/>
      <w:bookmarkEnd w:id="22"/>
      <w:bookmarkEnd w:id="23"/>
      <w:bookmarkEnd w:id="24"/>
      <w:bookmarkEnd w:id="25"/>
      <w:bookmarkEnd w:id="26"/>
      <w:bookmarkEnd w:id="27"/>
      <w:bookmarkStart w:id="216" w:name="_GoBack"/>
      <w:bookmarkEnd w:id="216"/>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rPr>
      </w:pPr>
      <w:bookmarkStart w:id="28" w:name="_Toc19467"/>
      <w:bookmarkStart w:id="29" w:name="_Toc17717"/>
      <w:bookmarkStart w:id="30" w:name="_Toc339375391"/>
      <w:r>
        <w:rPr>
          <w:rFonts w:hint="default" w:ascii="Times New Roman" w:hAnsi="Times New Roman" w:cs="Times New Roman"/>
          <w:color w:val="auto"/>
        </w:rPr>
        <w:t>3.1　术语</w:t>
      </w:r>
      <w:bookmarkEnd w:id="28"/>
      <w:bookmarkEnd w:id="29"/>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rPr>
      </w:pPr>
      <w:bookmarkStart w:id="31" w:name="_Toc24743"/>
      <w:bookmarkStart w:id="32" w:name="_Toc11870"/>
      <w:bookmarkStart w:id="33" w:name="_Toc8008"/>
      <w:bookmarkStart w:id="34" w:name="_Toc20520"/>
      <w:bookmarkStart w:id="35" w:name="_Toc12786"/>
      <w:r>
        <w:rPr>
          <w:rFonts w:hint="default" w:ascii="Times New Roman" w:hAnsi="Times New Roman" w:cs="Times New Roman"/>
          <w:color w:val="auto"/>
        </w:rPr>
        <w:t xml:space="preserve">3.1.1 </w:t>
      </w:r>
      <w:r>
        <w:rPr>
          <w:rFonts w:hint="default" w:ascii="Times New Roman" w:hAnsi="Times New Roman" w:cs="Times New Roman"/>
          <w:color w:val="auto"/>
          <w:lang w:val="en-US" w:eastAsia="zh-CN"/>
        </w:rPr>
        <w:t>固体剂量计</w:t>
      </w:r>
      <w:r>
        <w:rPr>
          <w:rFonts w:hint="default" w:ascii="Times New Roman" w:hAnsi="Times New Roman" w:cs="Times New Roman"/>
          <w:color w:val="auto"/>
        </w:rPr>
        <w:t xml:space="preserve"> solid</w:t>
      </w:r>
      <w:r>
        <w:rPr>
          <w:rFonts w:hint="default" w:ascii="Times New Roman" w:hAnsi="Times New Roman" w:cs="Times New Roman"/>
          <w:color w:val="auto"/>
          <w:lang w:val="en-US" w:eastAsia="zh-CN"/>
        </w:rPr>
        <w:t xml:space="preserve"> state</w:t>
      </w:r>
      <w:r>
        <w:rPr>
          <w:rFonts w:hint="default" w:ascii="Times New Roman" w:hAnsi="Times New Roman" w:cs="Times New Roman"/>
          <w:color w:val="auto"/>
        </w:rPr>
        <w:t xml:space="preserve"> dosimeter</w:t>
      </w:r>
      <w:bookmarkEnd w:id="31"/>
      <w:bookmarkEnd w:id="32"/>
      <w:bookmarkEnd w:id="33"/>
      <w:bookmarkEnd w:id="34"/>
      <w:bookmarkEnd w:id="35"/>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rPr>
      </w:pPr>
      <w:r>
        <w:rPr>
          <w:rFonts w:hint="default" w:ascii="Times New Roman" w:hAnsi="Times New Roman" w:cs="Times New Roman"/>
          <w:color w:val="auto"/>
        </w:rPr>
        <w:t>利用某些固体材料的电离辐射效应，对电离辐射剂量进行测量的探测器。</w:t>
      </w:r>
      <w:r>
        <w:rPr>
          <w:rFonts w:hint="default" w:ascii="Times New Roman" w:hAnsi="Times New Roman" w:cs="Times New Roman"/>
          <w:color w:val="auto"/>
          <w:lang w:val="en-US" w:eastAsia="zh-CN"/>
        </w:rPr>
        <w:t>根据材料的电离特性制</w:t>
      </w:r>
      <w:r>
        <w:rPr>
          <w:rFonts w:hint="default" w:ascii="Times New Roman" w:hAnsi="Times New Roman" w:cs="Times New Roman"/>
          <w:color w:val="auto"/>
          <w:lang w:val="en-US" w:eastAsia="zh-CN"/>
        </w:rPr>
        <w:t>成</w:t>
      </w:r>
      <w:r>
        <w:rPr>
          <w:rFonts w:hint="default" w:ascii="Times New Roman" w:hAnsi="Times New Roman" w:cs="Times New Roman"/>
          <w:color w:val="auto"/>
        </w:rPr>
        <w:t>体积小、灵敏度高、剂量测量范围宽</w:t>
      </w:r>
      <w:r>
        <w:rPr>
          <w:rFonts w:hint="default" w:ascii="Times New Roman" w:hAnsi="Times New Roman" w:cs="Times New Roman"/>
          <w:color w:val="auto"/>
          <w:lang w:val="en-US" w:eastAsia="zh-CN"/>
        </w:rPr>
        <w:t>和</w:t>
      </w:r>
      <w:r>
        <w:rPr>
          <w:rFonts w:hint="default" w:ascii="Times New Roman" w:hAnsi="Times New Roman" w:cs="Times New Roman"/>
          <w:color w:val="auto"/>
        </w:rPr>
        <w:t>使用方便等特点</w:t>
      </w:r>
      <w:r>
        <w:rPr>
          <w:rFonts w:hint="default" w:ascii="Times New Roman" w:hAnsi="Times New Roman" w:cs="Times New Roman"/>
          <w:color w:val="auto"/>
          <w:lang w:val="en-US" w:eastAsia="zh-CN"/>
        </w:rPr>
        <w:t>的放疗束剂量校准用</w:t>
      </w:r>
      <w:r>
        <w:rPr>
          <w:rFonts w:hint="default" w:ascii="Times New Roman" w:hAnsi="Times New Roman" w:cs="Times New Roman"/>
          <w:color w:val="auto"/>
        </w:rPr>
        <w:t>固体剂量计。</w:t>
      </w:r>
      <w:r>
        <w:rPr>
          <w:rFonts w:hint="default" w:ascii="Times New Roman" w:hAnsi="Times New Roman" w:cs="Times New Roman"/>
          <w:color w:val="auto"/>
          <w:lang w:val="en-US" w:eastAsia="zh-CN"/>
        </w:rPr>
        <w:t>现</w:t>
      </w:r>
      <w:r>
        <w:rPr>
          <w:rFonts w:hint="default" w:ascii="Times New Roman" w:hAnsi="Times New Roman" w:cs="Times New Roman"/>
          <w:color w:val="auto"/>
        </w:rPr>
        <w:t>有</w:t>
      </w:r>
      <w:r>
        <w:rPr>
          <w:rFonts w:hint="default" w:ascii="Times New Roman" w:hAnsi="Times New Roman" w:cs="Times New Roman"/>
          <w:color w:val="auto"/>
          <w:lang w:val="en-US" w:eastAsia="zh-CN"/>
        </w:rPr>
        <w:t>丙氨酸</w:t>
      </w:r>
      <w:r>
        <w:rPr>
          <w:rFonts w:hint="default" w:ascii="Times New Roman" w:hAnsi="Times New Roman" w:cs="Times New Roman"/>
          <w:color w:val="auto"/>
        </w:rPr>
        <w:t>剂量计、光</w:t>
      </w:r>
      <w:r>
        <w:rPr>
          <w:rFonts w:hint="eastAsia" w:cs="Times New Roman"/>
          <w:color w:val="auto"/>
          <w:lang w:val="en-US" w:eastAsia="zh-CN"/>
        </w:rPr>
        <w:t>释光</w:t>
      </w:r>
      <w:r>
        <w:rPr>
          <w:rFonts w:hint="default" w:ascii="Times New Roman" w:hAnsi="Times New Roman" w:cs="Times New Roman"/>
          <w:color w:val="auto"/>
        </w:rPr>
        <w:t>剂量计</w:t>
      </w:r>
      <w:r>
        <w:rPr>
          <w:rFonts w:hint="eastAsia" w:cs="Times New Roman"/>
          <w:color w:val="auto"/>
          <w:lang w:val="en-US" w:eastAsia="zh-CN"/>
        </w:rPr>
        <w:t>、</w:t>
      </w:r>
      <w:r>
        <w:rPr>
          <w:rFonts w:hint="default" w:ascii="Times New Roman" w:hAnsi="Times New Roman" w:cs="Times New Roman"/>
          <w:color w:val="auto"/>
        </w:rPr>
        <w:t>热释光剂量计</w:t>
      </w:r>
      <w:r>
        <w:rPr>
          <w:rFonts w:hint="eastAsia" w:cs="Times New Roman"/>
          <w:color w:val="auto"/>
          <w:lang w:val="en-US" w:eastAsia="zh-CN"/>
        </w:rPr>
        <w:t>和辐射光致发光剂量计等固体剂量计</w:t>
      </w:r>
      <w:r>
        <w:rPr>
          <w:rFonts w:hint="default" w:ascii="Times New Roman" w:hAnsi="Times New Roman" w:cs="Times New Roman"/>
          <w:color w:val="auto"/>
        </w:rPr>
        <w:t>已应用</w:t>
      </w:r>
      <w:r>
        <w:rPr>
          <w:rFonts w:hint="default" w:ascii="Times New Roman" w:hAnsi="Times New Roman" w:cs="Times New Roman"/>
          <w:color w:val="auto"/>
          <w:lang w:val="en-US" w:eastAsia="zh-CN"/>
        </w:rPr>
        <w:t>于放疗剂量校准研究</w:t>
      </w:r>
      <w:r>
        <w:rPr>
          <w:rFonts w:hint="default"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Times New Roman" w:hAnsi="Times New Roman" w:eastAsia="宋体" w:cs="Times New Roman"/>
          <w:color w:val="auto"/>
          <w:lang w:eastAsia="zh-CN"/>
        </w:rPr>
      </w:pPr>
      <w:bookmarkStart w:id="36" w:name="_Toc5408"/>
      <w:bookmarkStart w:id="37" w:name="_Toc13989"/>
      <w:bookmarkStart w:id="38" w:name="_Toc12162"/>
      <w:bookmarkStart w:id="39" w:name="_Toc29658"/>
      <w:bookmarkStart w:id="40" w:name="_Toc8647"/>
      <w:r>
        <w:rPr>
          <w:rFonts w:hint="default" w:ascii="Times New Roman" w:hAnsi="Times New Roman" w:cs="Times New Roman"/>
          <w:color w:val="auto"/>
        </w:rPr>
        <w:t xml:space="preserve">3.1.2 </w:t>
      </w:r>
      <w:r>
        <w:rPr>
          <w:rFonts w:hint="default" w:ascii="Times New Roman" w:hAnsi="Times New Roman" w:cs="Times New Roman"/>
          <w:color w:val="auto"/>
          <w:lang w:val="en-US" w:eastAsia="zh-CN"/>
        </w:rPr>
        <w:t>丙氨酸剂量计</w:t>
      </w:r>
      <w:r>
        <w:rPr>
          <w:rFonts w:hint="default" w:ascii="Times New Roman" w:hAnsi="Times New Roman" w:cs="Times New Roman"/>
          <w:color w:val="auto"/>
        </w:rPr>
        <w:t xml:space="preserve"> alanine dosimeter</w:t>
      </w:r>
      <w:bookmarkEnd w:id="36"/>
      <w:bookmarkEnd w:id="37"/>
      <w:bookmarkEnd w:id="38"/>
      <w:bookmarkEnd w:id="39"/>
      <w:bookmarkEnd w:id="40"/>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rPr>
      </w:pPr>
      <w:r>
        <w:rPr>
          <w:rFonts w:hint="default" w:ascii="Times New Roman" w:hAnsi="Times New Roman" w:cs="Times New Roman"/>
          <w:color w:val="auto"/>
        </w:rPr>
        <w:t>一种由丙氨酸粉末压制而成的固体剂量计。丙氨酸</w:t>
      </w:r>
      <w:r>
        <w:rPr>
          <w:rFonts w:hint="default" w:ascii="Times New Roman" w:hAnsi="Times New Roman" w:cs="Times New Roman"/>
          <w:color w:val="auto"/>
          <w:lang w:val="en-US" w:eastAsia="zh-CN"/>
        </w:rPr>
        <w:t>被</w:t>
      </w:r>
      <w:r>
        <w:rPr>
          <w:rFonts w:hint="default" w:ascii="Times New Roman" w:hAnsi="Times New Roman" w:cs="Times New Roman"/>
          <w:color w:val="auto"/>
        </w:rPr>
        <w:t>辐照后能产生稳定的自由基，其浓度在一定剂量范围内与吸收的能量成正比。</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Times New Roman" w:hAnsi="Times New Roman" w:eastAsia="宋体" w:cs="Times New Roman"/>
          <w:color w:val="auto"/>
          <w:lang w:val="en-US" w:eastAsia="zh-CN"/>
        </w:rPr>
      </w:pPr>
      <w:bookmarkStart w:id="41" w:name="_Toc6756"/>
      <w:bookmarkStart w:id="42" w:name="_Toc23378"/>
      <w:bookmarkStart w:id="43" w:name="_Toc22662"/>
      <w:bookmarkStart w:id="44" w:name="_Toc12360"/>
      <w:bookmarkStart w:id="45" w:name="_Toc10480"/>
      <w:r>
        <w:rPr>
          <w:rFonts w:hint="default" w:ascii="Times New Roman" w:hAnsi="Times New Roman" w:cs="Times New Roman"/>
          <w:color w:val="auto"/>
        </w:rPr>
        <w:t>3.1.3 光</w:t>
      </w:r>
      <w:r>
        <w:rPr>
          <w:rFonts w:hint="eastAsia" w:cs="Times New Roman"/>
          <w:color w:val="auto"/>
          <w:lang w:val="en-US" w:eastAsia="zh-CN"/>
        </w:rPr>
        <w:t>释</w:t>
      </w:r>
      <w:r>
        <w:rPr>
          <w:rFonts w:hint="default" w:ascii="Times New Roman" w:hAnsi="Times New Roman" w:cs="Times New Roman"/>
          <w:color w:val="auto"/>
        </w:rPr>
        <w:t xml:space="preserve">光剂量计 </w:t>
      </w:r>
      <w:bookmarkEnd w:id="41"/>
      <w:bookmarkEnd w:id="42"/>
      <w:bookmarkEnd w:id="43"/>
      <w:bookmarkEnd w:id="44"/>
      <w:bookmarkEnd w:id="45"/>
      <w:r>
        <w:rPr>
          <w:rFonts w:hint="default" w:ascii="Times New Roman" w:hAnsi="Times New Roman" w:cs="Times New Roman"/>
          <w:color w:val="auto"/>
        </w:rPr>
        <w:t>Optically Stimulated Luminescence</w:t>
      </w:r>
      <w:r>
        <w:rPr>
          <w:rFonts w:hint="eastAsia" w:cs="Times New Roman"/>
          <w:color w:val="auto"/>
          <w:lang w:eastAsia="zh-CN"/>
        </w:rPr>
        <w:t>（</w:t>
      </w:r>
      <w:r>
        <w:rPr>
          <w:rFonts w:hint="eastAsia" w:cs="Times New Roman"/>
          <w:color w:val="auto"/>
          <w:lang w:val="en-US" w:eastAsia="zh-CN"/>
        </w:rPr>
        <w:t>OSL</w:t>
      </w:r>
      <w:r>
        <w:rPr>
          <w:rFonts w:hint="eastAsia" w:cs="Times New Roman"/>
          <w:color w:val="auto"/>
          <w:lang w:eastAsia="zh-CN"/>
        </w:rPr>
        <w:t>）</w:t>
      </w:r>
      <w:r>
        <w:rPr>
          <w:rFonts w:hint="eastAsia" w:cs="Times New Roman"/>
          <w:color w:val="auto"/>
          <w:lang w:val="en-US" w:eastAsia="zh-CN"/>
        </w:rPr>
        <w:t xml:space="preserve"> dosimeter</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eastAsia="宋体" w:cs="Times New Roman"/>
          <w:color w:val="auto"/>
          <w:lang w:val="en-US" w:eastAsia="zh-CN"/>
        </w:rPr>
      </w:pPr>
      <w:r>
        <w:rPr>
          <w:rFonts w:hint="eastAsia" w:cs="Times New Roman"/>
          <w:color w:val="auto"/>
          <w:lang w:val="en-US" w:eastAsia="zh-CN"/>
        </w:rPr>
        <w:t>一种由光释光材料，或光释光材料和非光释光材料配合组成的具有确定质量、形状和尺寸的用于测量电离辐射剂量的测量装置。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Times New Roman" w:hAnsi="Times New Roman" w:eastAsia="宋体" w:cs="Times New Roman"/>
          <w:color w:val="auto"/>
          <w:lang w:eastAsia="zh-CN"/>
        </w:rPr>
      </w:pPr>
      <w:bookmarkStart w:id="46" w:name="_Toc9859"/>
      <w:bookmarkStart w:id="47" w:name="_Toc14541"/>
      <w:bookmarkStart w:id="48" w:name="_Toc23953"/>
      <w:bookmarkStart w:id="49" w:name="_Toc16324"/>
      <w:bookmarkStart w:id="50" w:name="_Toc31796"/>
      <w:r>
        <w:rPr>
          <w:rFonts w:hint="default" w:ascii="Times New Roman" w:hAnsi="Times New Roman" w:cs="Times New Roman"/>
          <w:color w:val="auto"/>
        </w:rPr>
        <w:t>3.1.</w:t>
      </w:r>
      <w:r>
        <w:rPr>
          <w:rFonts w:hint="default" w:ascii="Times New Roman" w:hAnsi="Times New Roman" w:cs="Times New Roman"/>
          <w:color w:val="auto"/>
          <w:lang w:val="en-US" w:eastAsia="zh-CN"/>
        </w:rPr>
        <w:t>4</w:t>
      </w:r>
      <w:r>
        <w:rPr>
          <w:rFonts w:hint="default" w:ascii="Times New Roman" w:hAnsi="Times New Roman" w:cs="Times New Roman"/>
          <w:color w:val="auto"/>
        </w:rPr>
        <w:t xml:space="preserve"> 热释光剂量计 thermoluminescence dosimeter</w:t>
      </w:r>
      <w:bookmarkEnd w:id="46"/>
      <w:bookmarkEnd w:id="47"/>
      <w:bookmarkEnd w:id="48"/>
      <w:bookmarkEnd w:id="49"/>
      <w:bookmarkEnd w:id="50"/>
      <w:r>
        <w:rPr>
          <w:rFonts w:hint="eastAsia" w:cs="Times New Roman"/>
          <w:color w:val="auto"/>
          <w:lang w:eastAsia="zh-CN"/>
        </w:rPr>
        <w:t>（</w:t>
      </w:r>
      <w:r>
        <w:rPr>
          <w:rFonts w:hint="eastAsia" w:cs="Times New Roman"/>
          <w:color w:val="auto"/>
          <w:lang w:val="en-US" w:eastAsia="zh-CN"/>
        </w:rPr>
        <w:t>TLD</w:t>
      </w:r>
      <w:r>
        <w:rPr>
          <w:rFonts w:hint="eastAsia" w:cs="Times New Roman"/>
          <w:color w:val="auto"/>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lang w:eastAsia="zh-CN"/>
        </w:rPr>
      </w:pPr>
      <w:r>
        <w:rPr>
          <w:rFonts w:hint="default" w:ascii="Times New Roman" w:hAnsi="Times New Roman" w:cs="Times New Roman"/>
          <w:color w:val="auto"/>
        </w:rPr>
        <w:t>以热释光材料为敏感元件的剂量计。</w:t>
      </w:r>
      <w:r>
        <w:rPr>
          <w:rFonts w:hint="default" w:ascii="Times New Roman" w:hAnsi="Times New Roman" w:cs="Times New Roman"/>
          <w:color w:val="auto"/>
          <w:lang w:val="en-US" w:eastAsia="zh-CN"/>
        </w:rPr>
        <w:t>热释光材料</w:t>
      </w:r>
      <w:r>
        <w:rPr>
          <w:rFonts w:hint="default" w:ascii="Times New Roman" w:hAnsi="Times New Roman" w:cs="Times New Roman"/>
          <w:color w:val="auto"/>
        </w:rPr>
        <w:t>在辐射场中能够贮存</w:t>
      </w:r>
      <w:r>
        <w:rPr>
          <w:rFonts w:hint="default" w:ascii="Times New Roman" w:hAnsi="Times New Roman" w:cs="Times New Roman"/>
          <w:color w:val="auto"/>
          <w:lang w:val="en-US" w:eastAsia="zh-CN"/>
        </w:rPr>
        <w:t>其</w:t>
      </w:r>
      <w:r>
        <w:rPr>
          <w:rFonts w:hint="default" w:ascii="Times New Roman" w:hAnsi="Times New Roman" w:cs="Times New Roman"/>
          <w:color w:val="auto"/>
        </w:rPr>
        <w:t>所接受的辐射能，当对探测器进行加热时</w:t>
      </w:r>
      <w:r>
        <w:rPr>
          <w:rFonts w:hint="default" w:ascii="Times New Roman" w:hAnsi="Times New Roman" w:cs="Times New Roman"/>
          <w:color w:val="auto"/>
          <w:lang w:val="en-US" w:eastAsia="zh-CN"/>
        </w:rPr>
        <w:t>其储存的</w:t>
      </w:r>
      <w:r>
        <w:rPr>
          <w:rFonts w:hint="default" w:ascii="Times New Roman" w:hAnsi="Times New Roman" w:cs="Times New Roman"/>
          <w:color w:val="auto"/>
        </w:rPr>
        <w:t>辐射能以光的形式放出</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用</w:t>
      </w:r>
      <w:r>
        <w:rPr>
          <w:rFonts w:hint="default" w:ascii="Times New Roman" w:hAnsi="Times New Roman" w:cs="Times New Roman"/>
          <w:color w:val="auto"/>
        </w:rPr>
        <w:t>热释光读出器将这些光能收集起来</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其</w:t>
      </w:r>
      <w:r>
        <w:rPr>
          <w:rFonts w:hint="default" w:ascii="Times New Roman" w:hAnsi="Times New Roman" w:cs="Times New Roman"/>
          <w:color w:val="auto"/>
        </w:rPr>
        <w:t>发光强度及发光总量与吸收剂量成正比</w:t>
      </w:r>
      <w:r>
        <w:rPr>
          <w:rFonts w:hint="default" w:ascii="Times New Roman" w:hAnsi="Times New Roman" w:cs="Times New Roman"/>
          <w:color w:val="auto"/>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eastAsia="宋体" w:cs="Times New Roman"/>
          <w:color w:val="auto"/>
          <w:lang w:val="en-US" w:eastAsia="zh-CN"/>
        </w:rPr>
      </w:pPr>
      <w:r>
        <w:rPr>
          <w:rFonts w:hint="default" w:ascii="Times New Roman" w:hAnsi="Times New Roman" w:cs="Times New Roman"/>
          <w:color w:val="auto"/>
        </w:rPr>
        <w:t>3.1.</w:t>
      </w:r>
      <w:r>
        <w:rPr>
          <w:rFonts w:hint="eastAsia" w:cs="Times New Roman"/>
          <w:color w:val="auto"/>
          <w:lang w:val="en-US" w:eastAsia="zh-CN"/>
        </w:rPr>
        <w:t>5</w:t>
      </w:r>
      <w:r>
        <w:rPr>
          <w:rFonts w:hint="default" w:ascii="Times New Roman" w:hAnsi="Times New Roman" w:cs="Times New Roman"/>
          <w:color w:val="auto"/>
        </w:rPr>
        <w:t xml:space="preserve"> </w:t>
      </w:r>
      <w:r>
        <w:rPr>
          <w:rFonts w:hint="eastAsia" w:cs="Times New Roman"/>
          <w:color w:val="auto"/>
          <w:lang w:val="en-US" w:eastAsia="zh-CN"/>
        </w:rPr>
        <w:t>辐射光致发光剂量计</w:t>
      </w:r>
      <w:r>
        <w:rPr>
          <w:rFonts w:hint="default" w:ascii="Times New Roman" w:hAnsi="Times New Roman" w:cs="Times New Roman"/>
          <w:color w:val="auto"/>
        </w:rPr>
        <w:t xml:space="preserve"> </w:t>
      </w:r>
      <w:r>
        <w:rPr>
          <w:rFonts w:hint="eastAsia" w:cs="Times New Roman"/>
          <w:color w:val="auto"/>
          <w:lang w:val="en-US" w:eastAsia="zh-CN"/>
        </w:rPr>
        <w:t xml:space="preserve">radio-photo luminescence </w:t>
      </w:r>
      <w:r>
        <w:rPr>
          <w:rFonts w:hint="default" w:ascii="Times New Roman" w:hAnsi="Times New Roman" w:cs="Times New Roman"/>
          <w:color w:val="auto"/>
        </w:rPr>
        <w:t>dosimeter</w:t>
      </w:r>
      <w:r>
        <w:rPr>
          <w:rFonts w:hint="eastAsia" w:cs="Times New Roman"/>
          <w:color w:val="auto"/>
          <w:lang w:val="en-US" w:eastAsia="zh-CN"/>
        </w:rPr>
        <w:t xml:space="preserve"> (RPLD)</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rPr>
      </w:pPr>
      <w:r>
        <w:rPr>
          <w:rFonts w:hint="eastAsia" w:cs="Times New Roman"/>
          <w:color w:val="auto"/>
          <w:lang w:val="en-US" w:eastAsia="zh-CN"/>
        </w:rPr>
        <w:t>利用探测材料受到辐射照射后产生的光致发光来测量剂量的装置</w:t>
      </w:r>
      <w:r>
        <w:rPr>
          <w:rFonts w:hint="default" w:ascii="Times New Roman" w:hAnsi="Times New Roman" w:cs="Times New Roman"/>
          <w:color w:val="auto"/>
          <w:lang w:eastAsia="zh-CN"/>
        </w:rPr>
        <w:t>。</w:t>
      </w:r>
      <w:r>
        <w:rPr>
          <w:rFonts w:hint="eastAsia" w:cs="Times New Roman"/>
          <w:color w:val="auto"/>
          <w:lang w:val="en-US" w:eastAsia="zh-CN"/>
        </w:rPr>
        <w:t>辐射光致发光</w:t>
      </w:r>
      <w:r>
        <w:rPr>
          <w:rFonts w:hint="default" w:ascii="Times New Roman" w:hAnsi="Times New Roman" w:cs="Times New Roman"/>
          <w:color w:val="auto"/>
          <w:lang w:val="en-US" w:eastAsia="zh-CN"/>
        </w:rPr>
        <w:t>材料</w:t>
      </w:r>
      <w:r>
        <w:rPr>
          <w:rFonts w:hint="eastAsia" w:cs="Times New Roman"/>
          <w:color w:val="auto"/>
          <w:lang w:val="en-US" w:eastAsia="zh-CN"/>
        </w:rPr>
        <w:t>受到</w:t>
      </w:r>
      <w:r>
        <w:rPr>
          <w:rFonts w:hint="default" w:ascii="Times New Roman" w:hAnsi="Times New Roman" w:cs="Times New Roman"/>
          <w:color w:val="auto"/>
        </w:rPr>
        <w:t>辐射</w:t>
      </w:r>
      <w:r>
        <w:rPr>
          <w:rFonts w:hint="eastAsia" w:cs="Times New Roman"/>
          <w:color w:val="auto"/>
          <w:lang w:val="en-US" w:eastAsia="zh-CN"/>
        </w:rPr>
        <w:t>后，会激发</w:t>
      </w:r>
      <w:r>
        <w:rPr>
          <w:rFonts w:hint="default" w:ascii="Times New Roman" w:hAnsi="Times New Roman" w:cs="Times New Roman"/>
          <w:color w:val="auto"/>
        </w:rPr>
        <w:t>产生的新能级，通过紫外激发</w:t>
      </w:r>
      <w:r>
        <w:rPr>
          <w:rFonts w:hint="eastAsia" w:cs="Times New Roman"/>
          <w:color w:val="auto"/>
          <w:lang w:val="en-US" w:eastAsia="zh-CN"/>
        </w:rPr>
        <w:t>可</w:t>
      </w:r>
      <w:r>
        <w:rPr>
          <w:rFonts w:hint="default" w:ascii="Times New Roman" w:hAnsi="Times New Roman" w:cs="Times New Roman"/>
          <w:color w:val="auto"/>
        </w:rPr>
        <w:t>读取</w:t>
      </w:r>
      <w:r>
        <w:rPr>
          <w:rFonts w:hint="eastAsia" w:cs="Times New Roman"/>
          <w:color w:val="auto"/>
          <w:lang w:val="en-US" w:eastAsia="zh-CN"/>
        </w:rPr>
        <w:t>发光</w:t>
      </w:r>
      <w:r>
        <w:rPr>
          <w:rFonts w:hint="default" w:ascii="Times New Roman" w:hAnsi="Times New Roman" w:cs="Times New Roman"/>
          <w:color w:val="auto"/>
        </w:rPr>
        <w:t>信号，发射光的强度与所受辐照的强度成正比。</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rPr>
      </w:pPr>
      <w:bookmarkStart w:id="51" w:name="_Toc18411"/>
      <w:bookmarkStart w:id="52" w:name="_Toc16584"/>
      <w:bookmarkStart w:id="53" w:name="_Toc19367"/>
      <w:bookmarkStart w:id="54" w:name="_Toc30631"/>
      <w:bookmarkStart w:id="55" w:name="_Toc515"/>
      <w:r>
        <w:rPr>
          <w:rFonts w:hint="default" w:ascii="Times New Roman" w:hAnsi="Times New Roman" w:cs="Times New Roman"/>
          <w:color w:val="auto"/>
        </w:rPr>
        <w:t>3.1.</w:t>
      </w:r>
      <w:r>
        <w:rPr>
          <w:rFonts w:hint="eastAsia" w:cs="Times New Roman"/>
          <w:color w:val="auto"/>
          <w:lang w:val="en-US" w:eastAsia="zh-CN"/>
        </w:rPr>
        <w:t>6</w:t>
      </w:r>
      <w:r>
        <w:rPr>
          <w:rFonts w:hint="default" w:ascii="Times New Roman" w:hAnsi="Times New Roman" w:cs="Times New Roman"/>
          <w:color w:val="auto"/>
        </w:rPr>
        <w:t xml:space="preserve"> </w:t>
      </w:r>
      <w:r>
        <w:rPr>
          <w:rFonts w:hint="eastAsia" w:cs="Times New Roman"/>
          <w:color w:val="auto"/>
          <w:vertAlign w:val="superscript"/>
          <w:lang w:val="en-US" w:eastAsia="zh-CN"/>
        </w:rPr>
        <w:t>60</w:t>
      </w:r>
      <w:r>
        <w:rPr>
          <w:rFonts w:hint="default" w:ascii="Times New Roman" w:hAnsi="Times New Roman" w:cs="Times New Roman"/>
          <w:color w:val="auto"/>
        </w:rPr>
        <w:t>Co</w:t>
      </w:r>
      <w:r>
        <w:rPr>
          <w:rFonts w:hint="default" w:ascii="Times New Roman" w:hAnsi="Times New Roman" w:cs="Times New Roman"/>
          <w:color w:val="auto"/>
          <w:lang w:val="en-US" w:eastAsia="zh-CN"/>
        </w:rPr>
        <w:t>远距离</w:t>
      </w:r>
      <w:r>
        <w:rPr>
          <w:rFonts w:hint="default" w:ascii="Times New Roman" w:hAnsi="Times New Roman" w:cs="Times New Roman"/>
          <w:color w:val="auto"/>
        </w:rPr>
        <w:t>治疗机 Cobalt-60 remote therapy machine</w:t>
      </w:r>
      <w:bookmarkEnd w:id="51"/>
      <w:bookmarkEnd w:id="52"/>
      <w:bookmarkEnd w:id="53"/>
      <w:bookmarkEnd w:id="54"/>
      <w:bookmarkEnd w:id="55"/>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rPr>
      </w:pPr>
      <w:r>
        <w:rPr>
          <w:rFonts w:hint="default" w:ascii="Times New Roman" w:hAnsi="Times New Roman" w:cs="Times New Roman"/>
          <w:color w:val="auto"/>
        </w:rPr>
        <w:t>由主机、治疗床和控制台组成。等中心偏差</w:t>
      </w:r>
      <w:r>
        <w:rPr>
          <w:rFonts w:hint="eastAsia" w:cs="Times New Roman"/>
          <w:color w:val="auto"/>
          <w:lang w:val="en-US" w:eastAsia="zh-CN"/>
        </w:rPr>
        <w:t>在</w:t>
      </w:r>
      <w:r>
        <w:rPr>
          <w:rFonts w:hint="default" w:ascii="Times New Roman" w:hAnsi="Times New Roman" w:cs="Times New Roman"/>
          <w:color w:val="auto"/>
        </w:rPr>
        <w:t>2</w:t>
      </w:r>
      <w:r>
        <w:rPr>
          <w:rFonts w:hint="eastAsia" w:cs="Times New Roman"/>
          <w:color w:val="auto"/>
          <w:lang w:val="en-US" w:eastAsia="zh-CN"/>
        </w:rPr>
        <w:t xml:space="preserve"> </w:t>
      </w:r>
      <w:r>
        <w:rPr>
          <w:rFonts w:hint="default" w:ascii="Times New Roman" w:hAnsi="Times New Roman" w:cs="Times New Roman"/>
          <w:color w:val="auto"/>
        </w:rPr>
        <w:t>mm</w:t>
      </w:r>
      <w:r>
        <w:rPr>
          <w:rFonts w:hint="eastAsia" w:cs="Times New Roman"/>
          <w:color w:val="auto"/>
          <w:lang w:val="en-US" w:eastAsia="zh-CN"/>
        </w:rPr>
        <w:t>内</w:t>
      </w:r>
      <w:r>
        <w:rPr>
          <w:rFonts w:hint="default" w:ascii="Times New Roman" w:hAnsi="Times New Roman" w:cs="Times New Roman"/>
          <w:color w:val="auto"/>
        </w:rPr>
        <w:t>；</w:t>
      </w:r>
      <w:r>
        <w:rPr>
          <w:rFonts w:hint="default" w:ascii="Times New Roman" w:hAnsi="Times New Roman" w:cs="Times New Roman"/>
          <w:color w:val="auto"/>
          <w:lang w:val="en-US" w:eastAsia="zh-CN"/>
        </w:rPr>
        <w:t>源表距（</w:t>
      </w:r>
      <w:r>
        <w:rPr>
          <w:rFonts w:hint="default" w:ascii="Times New Roman" w:hAnsi="Times New Roman" w:cs="Times New Roman"/>
          <w:color w:val="auto"/>
        </w:rPr>
        <w:t>SSD</w:t>
      </w:r>
      <w:r>
        <w:rPr>
          <w:rFonts w:hint="default" w:ascii="Times New Roman" w:hAnsi="Times New Roman" w:cs="Times New Roman"/>
          <w:color w:val="auto"/>
          <w:lang w:eastAsia="zh-CN"/>
        </w:rPr>
        <w:t>）</w:t>
      </w:r>
      <w:r>
        <w:rPr>
          <w:rFonts w:hint="default" w:ascii="Times New Roman" w:hAnsi="Times New Roman" w:cs="Times New Roman"/>
          <w:color w:val="auto"/>
          <w:lang w:val="en-US" w:eastAsia="zh-CN"/>
        </w:rPr>
        <w:t>为</w:t>
      </w:r>
      <w:r>
        <w:rPr>
          <w:rFonts w:hint="default" w:ascii="Times New Roman" w:hAnsi="Times New Roman" w:cs="Times New Roman"/>
          <w:color w:val="auto"/>
        </w:rPr>
        <w:t>800</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mm时</w:t>
      </w:r>
      <w:r>
        <w:rPr>
          <w:rFonts w:hint="default" w:ascii="Times New Roman" w:hAnsi="Times New Roman" w:cs="Times New Roman"/>
          <w:color w:val="auto"/>
          <w:lang w:eastAsia="zh-CN"/>
        </w:rPr>
        <w:t>，</w:t>
      </w:r>
      <w:r>
        <w:rPr>
          <w:rFonts w:hint="default" w:ascii="Times New Roman" w:hAnsi="Times New Roman" w:cs="Times New Roman"/>
          <w:color w:val="auto"/>
        </w:rPr>
        <w:t>准直器</w:t>
      </w:r>
      <w:r>
        <w:rPr>
          <w:rFonts w:hint="default" w:ascii="Times New Roman" w:hAnsi="Times New Roman" w:cs="Times New Roman"/>
          <w:color w:val="auto"/>
          <w:lang w:val="en-US" w:eastAsia="zh-CN"/>
        </w:rPr>
        <w:t>能形成辐射</w:t>
      </w:r>
      <w:r>
        <w:rPr>
          <w:rFonts w:hint="default" w:ascii="Times New Roman" w:hAnsi="Times New Roman" w:cs="Times New Roman"/>
          <w:color w:val="auto"/>
        </w:rPr>
        <w:t>野最小尺寸≤40</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mm×40</w:t>
      </w:r>
      <w:r>
        <w:rPr>
          <w:rFonts w:hint="default" w:ascii="Times New Roman" w:hAnsi="Times New Roman" w:cs="Times New Roman"/>
          <w:color w:val="auto"/>
          <w:lang w:val="en-US" w:eastAsia="zh-CN"/>
        </w:rPr>
        <w:t xml:space="preserve"> </w:t>
      </w:r>
      <w:r>
        <w:rPr>
          <w:rFonts w:hint="default" w:ascii="Times New Roman" w:hAnsi="Times New Roman" w:cs="Times New Roman"/>
          <w:color w:val="auto"/>
        </w:rPr>
        <w:t>mm，最大尺寸≥300mm×300mm</w:t>
      </w:r>
      <w:r>
        <w:rPr>
          <w:rFonts w:hint="default" w:ascii="Times New Roman" w:hAnsi="Times New Roman" w:cs="Times New Roman"/>
          <w:color w:val="auto"/>
          <w:lang w:eastAsia="zh-CN"/>
        </w:rPr>
        <w:t>的</w:t>
      </w:r>
      <w:r>
        <w:rPr>
          <w:rFonts w:hint="default" w:ascii="Times New Roman" w:hAnsi="Times New Roman" w:cs="Times New Roman"/>
          <w:color w:val="auto"/>
          <w:lang w:val="en-US" w:eastAsia="zh-CN"/>
        </w:rPr>
        <w:t>放射治疗系统</w:t>
      </w:r>
      <w:r>
        <w:rPr>
          <w:rFonts w:hint="default"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rPr>
      </w:pPr>
      <w:bookmarkStart w:id="56" w:name="_Toc29918"/>
      <w:bookmarkStart w:id="57" w:name="_Toc20560"/>
      <w:bookmarkStart w:id="58" w:name="_Toc32000"/>
      <w:bookmarkStart w:id="59" w:name="_Toc19971"/>
      <w:bookmarkStart w:id="60" w:name="_Toc2292"/>
      <w:r>
        <w:rPr>
          <w:rFonts w:hint="default" w:ascii="Times New Roman" w:hAnsi="Times New Roman" w:cs="Times New Roman"/>
          <w:color w:val="auto"/>
        </w:rPr>
        <w:t>3.1.</w:t>
      </w:r>
      <w:r>
        <w:rPr>
          <w:rFonts w:hint="eastAsia" w:cs="Times New Roman"/>
          <w:color w:val="auto"/>
          <w:lang w:val="en-US" w:eastAsia="zh-CN"/>
        </w:rPr>
        <w:t>7</w:t>
      </w:r>
      <w:r>
        <w:rPr>
          <w:rFonts w:hint="default" w:ascii="Times New Roman" w:hAnsi="Times New Roman" w:cs="Times New Roman"/>
          <w:color w:val="auto"/>
        </w:rPr>
        <w:t xml:space="preserve"> 医用电子直线加速器 medical electron linear accelerator</w:t>
      </w:r>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rPr>
      </w:pPr>
      <w:r>
        <w:rPr>
          <w:rFonts w:hint="default" w:ascii="Times New Roman" w:hAnsi="Times New Roman" w:cs="Times New Roman"/>
          <w:color w:val="auto"/>
        </w:rPr>
        <w:t>利用微波电磁场加速电子并具有直线运动轨道的加速装置，使其具有高能量，进而产生高能</w:t>
      </w:r>
      <w:r>
        <w:rPr>
          <w:rFonts w:hint="eastAsia" w:cs="Times New Roman"/>
          <w:color w:val="auto"/>
          <w:lang w:val="en-US" w:eastAsia="zh-CN"/>
        </w:rPr>
        <w:t>射束</w:t>
      </w:r>
      <w:r>
        <w:rPr>
          <w:rFonts w:hint="default" w:ascii="Times New Roman" w:hAnsi="Times New Roman" w:cs="Times New Roman"/>
          <w:color w:val="auto"/>
        </w:rPr>
        <w:t>（</w:t>
      </w:r>
      <w:r>
        <w:rPr>
          <w:rFonts w:hint="eastAsia" w:cs="Times New Roman"/>
          <w:color w:val="auto"/>
          <w:lang w:val="en-US" w:eastAsia="zh-CN"/>
        </w:rPr>
        <w:t>高能光子束和</w:t>
      </w:r>
      <w:r>
        <w:rPr>
          <w:rFonts w:hint="default" w:ascii="Times New Roman" w:hAnsi="Times New Roman" w:cs="Times New Roman"/>
          <w:color w:val="auto"/>
        </w:rPr>
        <w:t>电子</w:t>
      </w:r>
      <w:r>
        <w:rPr>
          <w:rFonts w:hint="eastAsia" w:cs="Times New Roman"/>
          <w:color w:val="auto"/>
          <w:lang w:val="en-US" w:eastAsia="zh-CN"/>
        </w:rPr>
        <w:t>束</w:t>
      </w:r>
      <w:r>
        <w:rPr>
          <w:rFonts w:hint="default" w:ascii="Times New Roman" w:hAnsi="Times New Roman" w:cs="Times New Roman"/>
          <w:color w:val="auto"/>
        </w:rPr>
        <w:t>）用于肿瘤放射治疗的大型医疗设备</w:t>
      </w:r>
      <w:r>
        <w:rPr>
          <w:rFonts w:hint="eastAsia" w:cs="Times New Roman"/>
          <w:color w:val="auto"/>
          <w:lang w:eastAsia="zh-CN"/>
        </w:rPr>
        <w:t>，</w:t>
      </w:r>
      <w:r>
        <w:rPr>
          <w:rFonts w:hint="default" w:ascii="Times New Roman" w:hAnsi="Times New Roman" w:cs="Times New Roman"/>
          <w:color w:val="auto"/>
        </w:rPr>
        <w:t>具有剂量率高</w:t>
      </w:r>
      <w:r>
        <w:rPr>
          <w:rFonts w:hint="default" w:ascii="Times New Roman" w:hAnsi="Times New Roman" w:cs="Times New Roman"/>
          <w:color w:val="auto"/>
          <w:lang w:eastAsia="zh-CN"/>
        </w:rPr>
        <w:t>、</w:t>
      </w:r>
      <w:r>
        <w:rPr>
          <w:rFonts w:hint="default" w:ascii="Times New Roman" w:hAnsi="Times New Roman" w:cs="Times New Roman"/>
          <w:color w:val="auto"/>
        </w:rPr>
        <w:t>照射时间短</w:t>
      </w:r>
      <w:r>
        <w:rPr>
          <w:rFonts w:hint="default" w:ascii="Times New Roman" w:hAnsi="Times New Roman" w:cs="Times New Roman"/>
          <w:color w:val="auto"/>
          <w:lang w:eastAsia="zh-CN"/>
        </w:rPr>
        <w:t>、</w:t>
      </w:r>
      <w:r>
        <w:rPr>
          <w:rFonts w:hint="default" w:ascii="Times New Roman" w:hAnsi="Times New Roman" w:cs="Times New Roman"/>
          <w:color w:val="auto"/>
        </w:rPr>
        <w:t>照射野大</w:t>
      </w:r>
      <w:r>
        <w:rPr>
          <w:rFonts w:hint="default" w:ascii="Times New Roman" w:hAnsi="Times New Roman" w:cs="Times New Roman"/>
          <w:color w:val="auto"/>
          <w:lang w:val="en-US" w:eastAsia="zh-CN"/>
        </w:rPr>
        <w:t>、</w:t>
      </w:r>
      <w:r>
        <w:rPr>
          <w:rFonts w:hint="default" w:ascii="Times New Roman" w:hAnsi="Times New Roman" w:cs="Times New Roman"/>
          <w:color w:val="auto"/>
        </w:rPr>
        <w:t>剂量均匀性和稳定性好等特点</w:t>
      </w:r>
      <w:r>
        <w:rPr>
          <w:rFonts w:hint="default" w:ascii="Times New Roman" w:hAnsi="Times New Roman" w:cs="Times New Roman"/>
          <w:color w:val="auto"/>
          <w:lang w:eastAsia="zh-CN"/>
        </w:rPr>
        <w:t>的</w:t>
      </w:r>
      <w:r>
        <w:rPr>
          <w:rFonts w:hint="default" w:ascii="Times New Roman" w:hAnsi="Times New Roman" w:cs="Times New Roman"/>
          <w:color w:val="auto"/>
          <w:lang w:val="en-US" w:eastAsia="zh-CN"/>
        </w:rPr>
        <w:t>放疗设备</w:t>
      </w:r>
      <w:r>
        <w:rPr>
          <w:rFonts w:hint="default"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rPr>
      </w:pPr>
      <w:bookmarkStart w:id="61" w:name="_Toc9481"/>
      <w:bookmarkStart w:id="62" w:name="_Toc22891"/>
      <w:bookmarkStart w:id="63" w:name="_Toc4612"/>
      <w:bookmarkStart w:id="64" w:name="_Toc31954"/>
      <w:bookmarkStart w:id="65" w:name="_Toc5765"/>
      <w:r>
        <w:rPr>
          <w:rFonts w:hint="default" w:ascii="Times New Roman" w:hAnsi="Times New Roman" w:cs="Times New Roman"/>
          <w:color w:val="auto"/>
        </w:rPr>
        <w:t>3.1.</w:t>
      </w:r>
      <w:r>
        <w:rPr>
          <w:rFonts w:hint="eastAsia" w:cs="Times New Roman"/>
          <w:color w:val="auto"/>
          <w:lang w:val="en-US" w:eastAsia="zh-CN"/>
        </w:rPr>
        <w:t>8</w:t>
      </w:r>
      <w:r>
        <w:rPr>
          <w:rFonts w:hint="default" w:ascii="Times New Roman" w:hAnsi="Times New Roman" w:cs="Times New Roman"/>
          <w:color w:val="auto"/>
        </w:rPr>
        <w:t xml:space="preserve"> </w:t>
      </w:r>
      <w:r>
        <w:rPr>
          <w:rFonts w:hint="eastAsia" w:cs="Times New Roman"/>
          <w:color w:val="auto"/>
          <w:lang w:val="en-US" w:eastAsia="zh-CN"/>
        </w:rPr>
        <w:t>轻离子</w:t>
      </w:r>
      <w:r>
        <w:rPr>
          <w:rFonts w:hint="default" w:ascii="Times New Roman" w:hAnsi="Times New Roman" w:cs="Times New Roman"/>
          <w:color w:val="auto"/>
          <w:lang w:val="en-US" w:eastAsia="zh-CN"/>
        </w:rPr>
        <w:t>质子放射治疗系统</w:t>
      </w:r>
      <w:r>
        <w:rPr>
          <w:rFonts w:hint="default" w:ascii="Times New Roman" w:hAnsi="Times New Roman" w:cs="Times New Roman"/>
          <w:color w:val="auto"/>
        </w:rPr>
        <w:t xml:space="preserve"> </w:t>
      </w:r>
      <w:r>
        <w:rPr>
          <w:rFonts w:hint="eastAsia" w:cs="Times New Roman"/>
          <w:color w:val="auto"/>
          <w:lang w:val="en-US" w:eastAsia="zh-CN"/>
        </w:rPr>
        <w:t>light</w:t>
      </w:r>
      <w:r>
        <w:rPr>
          <w:rFonts w:hint="default" w:ascii="Times New Roman" w:hAnsi="Times New Roman" w:cs="Times New Roman"/>
          <w:color w:val="auto"/>
        </w:rPr>
        <w:t xml:space="preserve"> ion proton radiation therapy system</w:t>
      </w:r>
      <w:bookmarkEnd w:id="61"/>
      <w:bookmarkEnd w:id="62"/>
      <w:bookmarkEnd w:id="63"/>
      <w:bookmarkEnd w:id="64"/>
      <w:bookmarkEnd w:id="65"/>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rPr>
      </w:pPr>
      <w:r>
        <w:rPr>
          <w:rFonts w:hint="default" w:ascii="Times New Roman" w:hAnsi="Times New Roman" w:cs="Times New Roman"/>
          <w:color w:val="auto"/>
        </w:rPr>
        <w:t>质子或碳离子经同步加速器加速至约70%的光速时，离子射</w:t>
      </w:r>
      <w:r>
        <w:rPr>
          <w:rFonts w:hint="eastAsia" w:cs="Times New Roman"/>
          <w:color w:val="auto"/>
          <w:lang w:val="en-US" w:eastAsia="zh-CN"/>
        </w:rPr>
        <w:t>束</w:t>
      </w:r>
      <w:r>
        <w:rPr>
          <w:rFonts w:hint="default" w:ascii="Times New Roman" w:hAnsi="Times New Roman" w:cs="Times New Roman"/>
          <w:color w:val="auto"/>
        </w:rPr>
        <w:t>被引出射入人体，在到达肿瘤病灶前射线能量释放不多，到达病灶后射</w:t>
      </w:r>
      <w:r>
        <w:rPr>
          <w:rFonts w:hint="eastAsia" w:cs="Times New Roman"/>
          <w:color w:val="auto"/>
          <w:lang w:val="en-US" w:eastAsia="zh-CN"/>
        </w:rPr>
        <w:t>束</w:t>
      </w:r>
      <w:r>
        <w:rPr>
          <w:rFonts w:hint="default" w:ascii="Times New Roman" w:hAnsi="Times New Roman" w:cs="Times New Roman"/>
          <w:color w:val="auto"/>
        </w:rPr>
        <w:t>会瞬间释放大量能量，形成名为“布拉格峰</w:t>
      </w:r>
      <w:r>
        <w:rPr>
          <w:rFonts w:hint="eastAsia" w:cs="Times New Roman"/>
          <w:color w:val="auto"/>
          <w:lang w:eastAsia="zh-CN"/>
        </w:rPr>
        <w:t>（Bragg Peak，</w:t>
      </w:r>
      <w:r>
        <w:rPr>
          <w:rFonts w:hint="eastAsia" w:cs="Times New Roman"/>
          <w:color w:val="auto"/>
          <w:lang w:val="en-US" w:eastAsia="zh-CN"/>
        </w:rPr>
        <w:t>BP</w:t>
      </w:r>
      <w:r>
        <w:rPr>
          <w:rFonts w:hint="eastAsia" w:cs="Times New Roman"/>
          <w:color w:val="auto"/>
          <w:lang w:eastAsia="zh-CN"/>
        </w:rPr>
        <w:t>）</w:t>
      </w:r>
      <w:r>
        <w:rPr>
          <w:rFonts w:hint="default" w:ascii="Times New Roman" w:hAnsi="Times New Roman" w:cs="Times New Roman"/>
          <w:color w:val="auto"/>
        </w:rPr>
        <w:t>”的能量释放轨迹，对肿瘤病灶进行强有力的</w:t>
      </w:r>
      <w:r>
        <w:rPr>
          <w:rFonts w:hint="eastAsia" w:cs="Times New Roman"/>
          <w:color w:val="auto"/>
          <w:lang w:val="en-US" w:eastAsia="zh-CN"/>
        </w:rPr>
        <w:t>辐射</w:t>
      </w:r>
      <w:r>
        <w:rPr>
          <w:rFonts w:hint="default" w:ascii="Times New Roman" w:hAnsi="Times New Roman" w:cs="Times New Roman"/>
          <w:color w:val="auto"/>
        </w:rPr>
        <w:t>同时又避开</w:t>
      </w:r>
      <w:r>
        <w:rPr>
          <w:rFonts w:hint="eastAsia" w:cs="Times New Roman"/>
          <w:color w:val="auto"/>
          <w:lang w:val="en-US" w:eastAsia="zh-CN"/>
        </w:rPr>
        <w:t>辐射</w:t>
      </w:r>
      <w:r>
        <w:rPr>
          <w:rFonts w:hint="default" w:ascii="Times New Roman" w:hAnsi="Times New Roman" w:cs="Times New Roman"/>
          <w:color w:val="auto"/>
        </w:rPr>
        <w:t>正常组织，实现疗效最大化</w:t>
      </w:r>
      <w:r>
        <w:rPr>
          <w:rFonts w:hint="eastAsia" w:cs="Times New Roman"/>
          <w:color w:val="auto"/>
          <w:lang w:val="en-US" w:eastAsia="zh-CN"/>
        </w:rPr>
        <w:t>的放</w:t>
      </w:r>
      <w:r>
        <w:rPr>
          <w:rFonts w:hint="default" w:ascii="Times New Roman" w:hAnsi="Times New Roman" w:cs="Times New Roman"/>
          <w:color w:val="auto"/>
          <w:lang w:val="en-US" w:eastAsia="zh-CN"/>
        </w:rPr>
        <w:t>疗系统</w:t>
      </w:r>
      <w:r>
        <w:rPr>
          <w:rFonts w:hint="default"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66" w:name="_Toc499"/>
      <w:bookmarkStart w:id="67" w:name="_Toc5781"/>
      <w:bookmarkStart w:id="68" w:name="_Toc20956"/>
      <w:bookmarkStart w:id="69" w:name="_Toc32613"/>
      <w:bookmarkStart w:id="70" w:name="_Toc7807"/>
      <w:r>
        <w:rPr>
          <w:rFonts w:hint="default" w:ascii="Times New Roman" w:hAnsi="Times New Roman" w:cs="Times New Roman"/>
          <w:color w:val="auto"/>
          <w:lang w:val="en-US" w:eastAsia="zh-CN"/>
        </w:rPr>
        <w:t>3.1.</w:t>
      </w:r>
      <w:r>
        <w:rPr>
          <w:rFonts w:hint="eastAsia" w:cs="Times New Roman"/>
          <w:color w:val="auto"/>
          <w:lang w:val="en-US" w:eastAsia="zh-CN"/>
        </w:rPr>
        <w:t>9</w:t>
      </w:r>
      <w:r>
        <w:rPr>
          <w:rFonts w:hint="default" w:ascii="Times New Roman" w:hAnsi="Times New Roman" w:cs="Times New Roman"/>
          <w:color w:val="auto"/>
          <w:lang w:val="en-US" w:eastAsia="zh-CN"/>
        </w:rPr>
        <w:t xml:space="preserve"> 电子自旋共振波谱仪</w:t>
      </w:r>
      <w:bookmarkEnd w:id="66"/>
      <w:bookmarkEnd w:id="67"/>
      <w:bookmarkEnd w:id="68"/>
      <w:bookmarkEnd w:id="69"/>
      <w:r>
        <w:rPr>
          <w:rFonts w:hint="eastAsia" w:cs="Times New Roman"/>
          <w:color w:val="auto"/>
          <w:lang w:val="en-US" w:eastAsia="zh-CN"/>
        </w:rPr>
        <w:t xml:space="preserve"> </w:t>
      </w:r>
      <w:r>
        <w:rPr>
          <w:rFonts w:hint="default" w:ascii="Times New Roman" w:hAnsi="Times New Roman" w:cs="Times New Roman"/>
          <w:color w:val="auto"/>
          <w:lang w:val="en-US" w:eastAsia="zh-CN"/>
        </w:rPr>
        <w:t>electron spin resonance</w:t>
      </w:r>
      <w:r>
        <w:rPr>
          <w:rFonts w:hint="eastAsia" w:cs="Times New Roman"/>
          <w:color w:val="auto"/>
          <w:lang w:val="en-US" w:eastAsia="zh-CN"/>
        </w:rPr>
        <w:t>（</w:t>
      </w:r>
      <w:r>
        <w:rPr>
          <w:rFonts w:hint="default" w:ascii="Times New Roman" w:hAnsi="Times New Roman" w:cs="Times New Roman"/>
          <w:color w:val="auto"/>
          <w:lang w:val="en-US" w:eastAsia="zh-CN"/>
        </w:rPr>
        <w:t>ESR）spectrometer</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电子自旋共振，又称电子顺磁共振（electron paramagnetic resonance，EPR）。分子中的电子大多都是成对的，根据包立不兼容原理(Pauli exclusion principle)，每个电子对中的电子必为一个自旋向上，一个自旋向下，所以磁性互相抵消</w:t>
      </w:r>
      <w:r>
        <w:rPr>
          <w:rFonts w:hint="eastAsia" w:cs="Times New Roman"/>
          <w:color w:val="auto"/>
          <w:lang w:val="en-US" w:eastAsia="zh-CN"/>
        </w:rPr>
        <w:t>，</w:t>
      </w:r>
      <w:r>
        <w:rPr>
          <w:rFonts w:hint="default" w:ascii="Times New Roman" w:hAnsi="Times New Roman" w:cs="Times New Roman"/>
          <w:color w:val="auto"/>
          <w:lang w:val="en-US" w:eastAsia="zh-CN"/>
        </w:rPr>
        <w:t>因此粒子有不成对电子时能表现磁共振的现象。</w:t>
      </w:r>
      <w:r>
        <w:rPr>
          <w:rFonts w:hint="eastAsia" w:cs="Times New Roman"/>
          <w:color w:val="auto"/>
          <w:lang w:val="en-US" w:eastAsia="zh-CN"/>
        </w:rPr>
        <w:t>受到辐射后的丙氨酸剂量计</w:t>
      </w:r>
      <w:r>
        <w:rPr>
          <w:rFonts w:hint="default" w:ascii="Times New Roman" w:hAnsi="Times New Roman" w:cs="Times New Roman"/>
          <w:color w:val="auto"/>
          <w:lang w:val="en-US" w:eastAsia="zh-CN"/>
        </w:rPr>
        <w:t>样品</w:t>
      </w:r>
      <w:r>
        <w:rPr>
          <w:rFonts w:hint="eastAsia" w:cs="Times New Roman"/>
          <w:color w:val="auto"/>
          <w:lang w:val="en-US" w:eastAsia="zh-CN"/>
        </w:rPr>
        <w:t>被</w:t>
      </w:r>
      <w:r>
        <w:rPr>
          <w:rFonts w:hint="default" w:ascii="Times New Roman" w:hAnsi="Times New Roman" w:cs="Times New Roman"/>
          <w:color w:val="auto"/>
          <w:lang w:val="en-US" w:eastAsia="zh-CN"/>
        </w:rPr>
        <w:t>控制在固定频率的微波中，</w:t>
      </w:r>
      <w:r>
        <w:rPr>
          <w:rFonts w:hint="eastAsia" w:cs="Times New Roman"/>
          <w:color w:val="auto"/>
          <w:lang w:val="en-US" w:eastAsia="zh-CN"/>
        </w:rPr>
        <w:t>再</w:t>
      </w:r>
      <w:r>
        <w:rPr>
          <w:rFonts w:hint="default" w:ascii="Times New Roman" w:hAnsi="Times New Roman" w:cs="Times New Roman"/>
          <w:color w:val="auto"/>
          <w:lang w:val="en-US" w:eastAsia="zh-CN"/>
        </w:rPr>
        <w:t>改变外加磁场</w:t>
      </w:r>
      <w:r>
        <w:rPr>
          <w:rFonts w:hint="eastAsia" w:cs="Times New Roman"/>
          <w:color w:val="auto"/>
          <w:lang w:val="en-US" w:eastAsia="zh-CN"/>
        </w:rPr>
        <w:t>强度</w:t>
      </w:r>
      <w:r>
        <w:rPr>
          <w:rFonts w:hint="default" w:ascii="Times New Roman" w:hAnsi="Times New Roman" w:cs="Times New Roman"/>
          <w:color w:val="auto"/>
          <w:lang w:val="en-US" w:eastAsia="zh-CN"/>
        </w:rPr>
        <w:t>让电子能阶差值与微波能量相同，而未成对电子可以在两个能阶间移动</w:t>
      </w:r>
      <w:r>
        <w:rPr>
          <w:rFonts w:hint="eastAsia" w:cs="Times New Roman"/>
          <w:color w:val="auto"/>
          <w:lang w:val="en-US" w:eastAsia="zh-CN"/>
        </w:rPr>
        <w:t>，</w:t>
      </w:r>
      <w:r>
        <w:rPr>
          <w:rFonts w:hint="default" w:ascii="Times New Roman" w:hAnsi="Times New Roman" w:cs="Times New Roman"/>
          <w:color w:val="auto"/>
          <w:lang w:val="en-US" w:eastAsia="zh-CN"/>
        </w:rPr>
        <w:t>测量微波的净吸收能量再将其转换得到ESR光谱，从而获得丙氨酸</w:t>
      </w:r>
      <w:r>
        <w:rPr>
          <w:rFonts w:hint="eastAsia" w:cs="Times New Roman"/>
          <w:color w:val="auto"/>
          <w:lang w:val="en-US" w:eastAsia="zh-CN"/>
        </w:rPr>
        <w:t>剂量计</w:t>
      </w:r>
      <w:r>
        <w:rPr>
          <w:rFonts w:hint="default" w:ascii="Times New Roman" w:hAnsi="Times New Roman" w:cs="Times New Roman"/>
          <w:color w:val="auto"/>
          <w:lang w:val="en-US" w:eastAsia="zh-CN"/>
        </w:rPr>
        <w:t>接收到的剂量值。</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eastAsia="宋体" w:cs="Times New Roman"/>
          <w:color w:val="auto"/>
          <w:lang w:val="en-US" w:eastAsia="zh-CN"/>
        </w:rPr>
      </w:pPr>
      <w:r>
        <w:rPr>
          <w:rFonts w:hint="default" w:ascii="Times New Roman" w:hAnsi="Times New Roman" w:cs="Times New Roman"/>
          <w:color w:val="auto"/>
        </w:rPr>
        <w:t>3.1.</w:t>
      </w:r>
      <w:r>
        <w:rPr>
          <w:rFonts w:hint="eastAsia" w:cs="Times New Roman"/>
          <w:color w:val="auto"/>
          <w:lang w:val="en-US" w:eastAsia="zh-CN"/>
        </w:rPr>
        <w:t>10</w:t>
      </w:r>
      <w:r>
        <w:rPr>
          <w:rFonts w:hint="default" w:ascii="Times New Roman" w:hAnsi="Times New Roman" w:cs="Times New Roman"/>
          <w:color w:val="auto"/>
        </w:rPr>
        <w:t xml:space="preserve"> 光</w:t>
      </w:r>
      <w:r>
        <w:rPr>
          <w:rFonts w:hint="eastAsia" w:cs="Times New Roman"/>
          <w:color w:val="auto"/>
          <w:lang w:val="en-US" w:eastAsia="zh-CN"/>
        </w:rPr>
        <w:t>释</w:t>
      </w:r>
      <w:r>
        <w:rPr>
          <w:rFonts w:hint="default" w:ascii="Times New Roman" w:hAnsi="Times New Roman" w:cs="Times New Roman"/>
          <w:color w:val="auto"/>
        </w:rPr>
        <w:t>光剂量计</w:t>
      </w:r>
      <w:r>
        <w:rPr>
          <w:rFonts w:hint="eastAsia" w:cs="Times New Roman"/>
          <w:color w:val="auto"/>
          <w:lang w:val="en-US" w:eastAsia="zh-CN"/>
        </w:rPr>
        <w:t>读</w:t>
      </w:r>
      <w:r>
        <w:rPr>
          <w:rFonts w:hint="default" w:ascii="Times New Roman" w:hAnsi="Times New Roman" w:cs="Times New Roman"/>
          <w:color w:val="auto"/>
          <w:lang w:val="en-US" w:eastAsia="zh-CN"/>
        </w:rPr>
        <w:t>出</w:t>
      </w:r>
      <w:r>
        <w:rPr>
          <w:rFonts w:hint="eastAsia" w:cs="Times New Roman"/>
          <w:color w:val="auto"/>
          <w:lang w:val="en-US" w:eastAsia="zh-CN"/>
        </w:rPr>
        <w:t>器</w:t>
      </w:r>
      <w:r>
        <w:rPr>
          <w:rFonts w:hint="default" w:ascii="Times New Roman" w:hAnsi="Times New Roman" w:cs="Times New Roman"/>
          <w:color w:val="auto"/>
        </w:rPr>
        <w:t xml:space="preserve"> Optically Stimulated Luminescence</w:t>
      </w:r>
      <w:r>
        <w:rPr>
          <w:rFonts w:hint="eastAsia" w:cs="Times New Roman"/>
          <w:color w:val="auto"/>
          <w:lang w:val="en-US" w:eastAsia="zh-CN"/>
        </w:rPr>
        <w:t xml:space="preserve"> (OSL) dosimeter reader</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lang w:val="en-US" w:eastAsia="zh-CN"/>
        </w:rPr>
      </w:pPr>
      <w:r>
        <w:rPr>
          <w:rFonts w:hint="eastAsia" w:cs="Times New Roman"/>
          <w:color w:val="auto"/>
          <w:lang w:val="en-US" w:eastAsia="zh-CN"/>
        </w:rPr>
        <w:t>测量光释光剂量计所发射光线的仪器</w:t>
      </w:r>
      <w:r>
        <w:rPr>
          <w:rFonts w:hint="default" w:ascii="Times New Roman" w:hAnsi="Times New Roman" w:cs="Times New Roman"/>
          <w:color w:va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eastAsia" w:ascii="Times New Roman" w:hAnsi="Times New Roman" w:eastAsia="宋体" w:cs="Times New Roman"/>
          <w:color w:val="auto"/>
          <w:lang w:val="en-US" w:eastAsia="zh-CN"/>
        </w:rPr>
      </w:pPr>
      <w:bookmarkStart w:id="71" w:name="_Toc21029"/>
      <w:bookmarkStart w:id="72" w:name="_Toc5733"/>
      <w:bookmarkStart w:id="73" w:name="_Toc13417"/>
      <w:bookmarkStart w:id="74" w:name="_Toc16165"/>
      <w:r>
        <w:rPr>
          <w:rFonts w:hint="default" w:ascii="Times New Roman" w:hAnsi="Times New Roman" w:cs="Times New Roman"/>
          <w:color w:val="auto"/>
          <w:lang w:val="en-US" w:eastAsia="zh-CN"/>
        </w:rPr>
        <w:t>3.1.</w:t>
      </w:r>
      <w:r>
        <w:rPr>
          <w:rFonts w:hint="eastAsia" w:cs="Times New Roman"/>
          <w:color w:val="auto"/>
          <w:lang w:val="en-US" w:eastAsia="zh-CN"/>
        </w:rPr>
        <w:t>11</w:t>
      </w:r>
      <w:r>
        <w:rPr>
          <w:rFonts w:hint="default" w:ascii="Times New Roman" w:hAnsi="Times New Roman" w:cs="Times New Roman"/>
          <w:color w:val="auto"/>
          <w:lang w:val="en-US" w:eastAsia="zh-CN"/>
        </w:rPr>
        <w:t xml:space="preserve"> 热释光剂量计读出器</w:t>
      </w:r>
      <w:bookmarkEnd w:id="71"/>
      <w:bookmarkEnd w:id="72"/>
      <w:bookmarkEnd w:id="73"/>
      <w:bookmarkEnd w:id="74"/>
      <w:r>
        <w:rPr>
          <w:rFonts w:hint="eastAsia" w:cs="Times New Roman"/>
          <w:color w:val="auto"/>
          <w:lang w:val="en-US" w:eastAsia="zh-CN"/>
        </w:rPr>
        <w:t xml:space="preserve"> </w:t>
      </w:r>
      <w:r>
        <w:rPr>
          <w:rFonts w:hint="default" w:ascii="Times New Roman" w:hAnsi="Times New Roman" w:cs="Times New Roman"/>
          <w:color w:val="auto"/>
        </w:rPr>
        <w:t>thermoluminescence dosimeter</w:t>
      </w:r>
      <w:r>
        <w:rPr>
          <w:rFonts w:hint="eastAsia" w:cs="Times New Roman"/>
          <w:color w:val="auto"/>
          <w:lang w:val="en-US" w:eastAsia="zh-CN"/>
        </w:rPr>
        <w:t xml:space="preserve"> reader</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lang w:val="en-US" w:eastAsia="zh-CN"/>
        </w:rPr>
      </w:pPr>
      <w:bookmarkStart w:id="75" w:name="_Toc16589"/>
      <w:bookmarkStart w:id="76" w:name="_Toc8727"/>
      <w:r>
        <w:rPr>
          <w:rFonts w:hint="default" w:ascii="Times New Roman" w:hAnsi="Times New Roman" w:cs="Times New Roman"/>
          <w:color w:val="auto"/>
          <w:lang w:val="en-US" w:eastAsia="zh-CN"/>
        </w:rPr>
        <w:t>也称</w:t>
      </w:r>
      <w:r>
        <w:rPr>
          <w:rFonts w:hint="eastAsia" w:cs="Times New Roman"/>
          <w:color w:val="auto"/>
          <w:lang w:val="en-US" w:eastAsia="zh-CN"/>
        </w:rPr>
        <w:t>“</w:t>
      </w:r>
      <w:r>
        <w:rPr>
          <w:rFonts w:hint="default" w:ascii="Times New Roman" w:hAnsi="Times New Roman" w:cs="Times New Roman"/>
          <w:color w:val="auto"/>
          <w:lang w:val="en-US" w:eastAsia="zh-CN"/>
        </w:rPr>
        <w:t>热释光测量仪</w:t>
      </w:r>
      <w:r>
        <w:rPr>
          <w:rFonts w:hint="eastAsia" w:cs="Times New Roman"/>
          <w:color w:val="auto"/>
          <w:lang w:val="en-US" w:eastAsia="zh-CN"/>
        </w:rPr>
        <w:t>”</w:t>
      </w:r>
      <w:r>
        <w:rPr>
          <w:rFonts w:hint="default" w:ascii="Times New Roman" w:hAnsi="Times New Roman" w:cs="Times New Roman"/>
          <w:color w:val="auto"/>
          <w:lang w:val="en-US" w:eastAsia="zh-CN"/>
        </w:rPr>
        <w:t>，对热释光剂量计测读的仪器。由加热系统、测光装置和相关的电子学部件等组成。加热系统包括加热器和温升控制系统</w:t>
      </w:r>
      <w:r>
        <w:rPr>
          <w:rFonts w:hint="eastAsia" w:cs="Times New Roman"/>
          <w:color w:val="auto"/>
          <w:lang w:val="en-US" w:eastAsia="zh-CN"/>
        </w:rPr>
        <w:t>；</w:t>
      </w:r>
      <w:r>
        <w:rPr>
          <w:rFonts w:hint="default" w:ascii="Times New Roman" w:hAnsi="Times New Roman" w:cs="Times New Roman"/>
          <w:color w:val="auto"/>
          <w:lang w:val="en-US" w:eastAsia="zh-CN"/>
        </w:rPr>
        <w:t>测光装置由光电倍增管和光学系统组成。电子学部件包括放大器、电流频率变换器、计数率计、显示器和温度计等。测量时</w:t>
      </w:r>
      <w:r>
        <w:rPr>
          <w:rFonts w:hint="eastAsia" w:cs="Times New Roman"/>
          <w:color w:val="auto"/>
          <w:lang w:val="en-US" w:eastAsia="zh-CN"/>
        </w:rPr>
        <w:t>，</w:t>
      </w:r>
      <w:r>
        <w:rPr>
          <w:rFonts w:hint="default" w:ascii="Times New Roman" w:hAnsi="Times New Roman" w:cs="Times New Roman"/>
          <w:color w:val="auto"/>
          <w:lang w:val="en-US" w:eastAsia="zh-CN"/>
        </w:rPr>
        <w:t>加热器使热释光受热发出可见光；可见光</w:t>
      </w:r>
      <w:r>
        <w:rPr>
          <w:rFonts w:hint="eastAsia" w:cs="Times New Roman"/>
          <w:color w:val="auto"/>
          <w:lang w:val="en-US" w:eastAsia="zh-CN"/>
        </w:rPr>
        <w:t>通过</w:t>
      </w:r>
      <w:r>
        <w:rPr>
          <w:rFonts w:hint="default" w:ascii="Times New Roman" w:hAnsi="Times New Roman" w:cs="Times New Roman"/>
          <w:color w:val="auto"/>
          <w:lang w:val="en-US" w:eastAsia="zh-CN"/>
        </w:rPr>
        <w:t>光学系统透镜聚焦后由光电倍增管倍增放大输出电信号，再经过变换和计算处理后给出剂量值。</w:t>
      </w:r>
      <w:bookmarkEnd w:id="75"/>
      <w:bookmarkEnd w:id="76"/>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77" w:name="_Toc26826"/>
      <w:bookmarkStart w:id="78" w:name="_Toc29209"/>
      <w:bookmarkStart w:id="79" w:name="_Toc18088"/>
      <w:bookmarkStart w:id="80" w:name="_Toc21244"/>
      <w:r>
        <w:rPr>
          <w:rFonts w:hint="default" w:ascii="Times New Roman" w:hAnsi="Times New Roman" w:cs="Times New Roman"/>
          <w:color w:val="auto"/>
          <w:lang w:val="en-US" w:eastAsia="zh-CN"/>
        </w:rPr>
        <w:t>3.1.1</w:t>
      </w:r>
      <w:r>
        <w:rPr>
          <w:rFonts w:hint="eastAsia" w:cs="Times New Roman"/>
          <w:color w:val="auto"/>
          <w:lang w:val="en-US" w:eastAsia="zh-CN"/>
        </w:rPr>
        <w:t>2</w:t>
      </w:r>
      <w:r>
        <w:rPr>
          <w:rFonts w:hint="default" w:ascii="Times New Roman" w:hAnsi="Times New Roman" w:cs="Times New Roman"/>
          <w:color w:val="auto"/>
          <w:lang w:val="en-US" w:eastAsia="zh-CN"/>
        </w:rPr>
        <w:t xml:space="preserve"> 辐射光致发光剂量计读出器</w:t>
      </w:r>
      <w:bookmarkEnd w:id="70"/>
      <w:bookmarkEnd w:id="77"/>
      <w:bookmarkEnd w:id="78"/>
      <w:bookmarkEnd w:id="79"/>
      <w:bookmarkEnd w:id="80"/>
      <w:r>
        <w:rPr>
          <w:rFonts w:hint="eastAsia" w:cs="Times New Roman"/>
          <w:color w:val="auto"/>
          <w:lang w:val="en-US" w:eastAsia="zh-CN"/>
        </w:rPr>
        <w:t xml:space="preserve"> </w:t>
      </w:r>
      <w:r>
        <w:rPr>
          <w:rFonts w:hint="eastAsia" w:cs="Times New Roman"/>
          <w:color w:val="auto"/>
          <w:lang w:val="en-US" w:eastAsia="zh-CN"/>
        </w:rPr>
        <w:t xml:space="preserve">radio-photo luminescence </w:t>
      </w:r>
      <w:r>
        <w:rPr>
          <w:rFonts w:hint="default" w:ascii="Times New Roman" w:hAnsi="Times New Roman" w:cs="Times New Roman"/>
          <w:color w:val="auto"/>
        </w:rPr>
        <w:t>dosimeter</w:t>
      </w:r>
      <w:r>
        <w:rPr>
          <w:rFonts w:hint="eastAsia" w:cs="Times New Roman"/>
          <w:color w:val="auto"/>
          <w:lang w:val="en-US" w:eastAsia="zh-CN"/>
        </w:rPr>
        <w:t xml:space="preserve"> (RPLD) reader</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对</w:t>
      </w:r>
      <w:r>
        <w:rPr>
          <w:rFonts w:hint="eastAsia" w:cs="Times New Roman"/>
          <w:color w:val="auto"/>
          <w:lang w:val="en-US" w:eastAsia="zh-CN"/>
        </w:rPr>
        <w:t>辐射</w:t>
      </w:r>
      <w:r>
        <w:rPr>
          <w:rFonts w:hint="default" w:ascii="Times New Roman" w:hAnsi="Times New Roman" w:cs="Times New Roman"/>
          <w:color w:val="auto"/>
          <w:lang w:val="en-US" w:eastAsia="zh-CN"/>
        </w:rPr>
        <w:t>光致</w:t>
      </w:r>
      <w:r>
        <w:rPr>
          <w:rFonts w:hint="eastAsia" w:cs="Times New Roman"/>
          <w:color w:val="auto"/>
          <w:lang w:val="en-US" w:eastAsia="zh-CN"/>
        </w:rPr>
        <w:t>发光</w:t>
      </w:r>
      <w:r>
        <w:rPr>
          <w:rFonts w:hint="default" w:ascii="Times New Roman" w:hAnsi="Times New Roman" w:cs="Times New Roman"/>
          <w:color w:val="auto"/>
          <w:lang w:val="en-US" w:eastAsia="zh-CN"/>
        </w:rPr>
        <w:t>剂量计进行测读的仪器。测量光致发光探测器经光激发后发出的光量，以确定探测器所吸收的能量。通常由紫外光源、光探测和信号转换及输出记录等部分组成。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81" w:name="_Toc6476"/>
      <w:bookmarkStart w:id="82" w:name="_Toc26561"/>
      <w:bookmarkStart w:id="83" w:name="_Toc30155"/>
      <w:bookmarkStart w:id="84" w:name="_Toc24076"/>
      <w:bookmarkStart w:id="85" w:name="_Toc15341"/>
      <w:r>
        <w:rPr>
          <w:rFonts w:hint="default" w:ascii="Times New Roman" w:hAnsi="Times New Roman" w:cs="Times New Roman"/>
          <w:color w:val="auto"/>
          <w:lang w:val="en-US" w:eastAsia="zh-CN"/>
        </w:rPr>
        <w:t>3.1.1</w:t>
      </w:r>
      <w:r>
        <w:rPr>
          <w:rFonts w:hint="eastAsia" w:cs="Times New Roman"/>
          <w:color w:val="auto"/>
          <w:lang w:val="en-US" w:eastAsia="zh-CN"/>
        </w:rPr>
        <w:t>3</w:t>
      </w:r>
      <w:r>
        <w:rPr>
          <w:rFonts w:hint="default" w:ascii="Times New Roman" w:hAnsi="Times New Roman" w:cs="Times New Roman"/>
          <w:color w:val="auto"/>
          <w:lang w:val="en-US" w:eastAsia="zh-CN"/>
        </w:rPr>
        <w:t>水模体</w:t>
      </w:r>
      <w:bookmarkEnd w:id="81"/>
      <w:r>
        <w:rPr>
          <w:rFonts w:hint="default" w:ascii="Times New Roman" w:hAnsi="Times New Roman" w:cs="Times New Roman"/>
          <w:color w:val="auto"/>
          <w:lang w:val="en-US" w:eastAsia="zh-CN"/>
        </w:rPr>
        <w:t>和水等效模体</w:t>
      </w:r>
      <w:bookmarkEnd w:id="82"/>
      <w:bookmarkEnd w:id="83"/>
      <w:bookmarkEnd w:id="84"/>
      <w:bookmarkEnd w:id="85"/>
      <w:r>
        <w:rPr>
          <w:rFonts w:hint="eastAsia" w:cs="Times New Roman"/>
          <w:color w:val="auto"/>
          <w:lang w:val="en-US" w:eastAsia="zh-CN"/>
        </w:rPr>
        <w:t xml:space="preserve"> water phantom and water equivalent phantom</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由有机玻璃或聚苯乙烯制成的盛水容器，外形尺寸一般为30</w:t>
      </w:r>
      <w:r>
        <w:rPr>
          <w:rFonts w:hint="eastAsia" w:cs="Times New Roman"/>
          <w:color w:val="auto"/>
          <w:lang w:val="en-US" w:eastAsia="zh-CN"/>
        </w:rPr>
        <w:t xml:space="preserve"> </w:t>
      </w:r>
      <w:r>
        <w:rPr>
          <w:rFonts w:hint="default" w:ascii="Times New Roman" w:hAnsi="Times New Roman" w:cs="Times New Roman"/>
          <w:color w:val="auto"/>
          <w:lang w:val="en-US" w:eastAsia="zh-CN"/>
        </w:rPr>
        <w:t>cm×30</w:t>
      </w:r>
      <w:r>
        <w:rPr>
          <w:rFonts w:hint="eastAsia" w:cs="Times New Roman"/>
          <w:color w:val="auto"/>
          <w:lang w:val="en-US" w:eastAsia="zh-CN"/>
        </w:rPr>
        <w:t xml:space="preserve"> </w:t>
      </w:r>
      <w:r>
        <w:rPr>
          <w:rFonts w:hint="default" w:ascii="Times New Roman" w:hAnsi="Times New Roman" w:cs="Times New Roman"/>
          <w:color w:val="auto"/>
          <w:lang w:val="en-US" w:eastAsia="zh-CN"/>
        </w:rPr>
        <w:t>cm×30</w:t>
      </w:r>
      <w:r>
        <w:rPr>
          <w:rFonts w:hint="eastAsia" w:cs="Times New Roman"/>
          <w:color w:val="auto"/>
          <w:lang w:val="en-US" w:eastAsia="zh-CN"/>
        </w:rPr>
        <w:t xml:space="preserve"> </w:t>
      </w:r>
      <w:r>
        <w:rPr>
          <w:rFonts w:hint="default" w:ascii="Times New Roman" w:hAnsi="Times New Roman" w:cs="Times New Roman"/>
          <w:color w:val="auto"/>
          <w:lang w:val="en-US" w:eastAsia="zh-CN"/>
        </w:rPr>
        <w:t>cm或其他符合放疗剂量绝对测量尺寸的结构。水模体内常备有固体剂量计插孔和标有水深的刻线等。为方便使用也可采用经过校准或给出修正值的水等校材料（也称固体水）做成的具有固体剂量计插孔且满足放疗剂量绝对测量尺寸要求的水等效模体。</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86" w:name="_Toc18314"/>
      <w:bookmarkStart w:id="87" w:name="_Toc23664"/>
      <w:bookmarkStart w:id="88" w:name="_Toc13518"/>
      <w:bookmarkStart w:id="89" w:name="_Toc12497"/>
      <w:bookmarkStart w:id="90" w:name="_Toc6584"/>
      <w:r>
        <w:rPr>
          <w:rFonts w:hint="default" w:ascii="Times New Roman" w:hAnsi="Times New Roman" w:cs="Times New Roman"/>
          <w:color w:val="auto"/>
          <w:lang w:val="en-US" w:eastAsia="zh-CN"/>
        </w:rPr>
        <w:t>3.1.1</w:t>
      </w:r>
      <w:r>
        <w:rPr>
          <w:rFonts w:hint="eastAsia" w:cs="Times New Roman"/>
          <w:color w:val="auto"/>
          <w:lang w:val="en-US" w:eastAsia="zh-CN"/>
        </w:rPr>
        <w:t>4</w:t>
      </w:r>
      <w:r>
        <w:rPr>
          <w:rFonts w:hint="default" w:ascii="Times New Roman" w:hAnsi="Times New Roman" w:cs="Times New Roman"/>
          <w:color w:val="auto"/>
          <w:lang w:val="en-US" w:eastAsia="zh-CN"/>
        </w:rPr>
        <w:t xml:space="preserve"> 参考测量点</w:t>
      </w:r>
      <w:bookmarkEnd w:id="86"/>
      <w:bookmarkEnd w:id="87"/>
      <w:bookmarkEnd w:id="88"/>
      <w:bookmarkEnd w:id="89"/>
      <w:bookmarkEnd w:id="90"/>
      <w:r>
        <w:rPr>
          <w:rFonts w:hint="eastAsia" w:cs="Times New Roman"/>
          <w:color w:val="auto"/>
          <w:lang w:val="en-US" w:eastAsia="zh-CN"/>
        </w:rPr>
        <w:t xml:space="preserve"> reference measurement point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color w:val="auto"/>
          <w:lang w:val="en-US" w:eastAsia="zh-CN"/>
        </w:rPr>
        <w:t>在射</w:t>
      </w:r>
      <w:r>
        <w:rPr>
          <w:rFonts w:hint="default" w:ascii="Times New Roman" w:hAnsi="Times New Roman" w:cs="Times New Roman"/>
          <w:color w:val="auto"/>
          <w:highlight w:val="none"/>
          <w:lang w:val="en-US" w:eastAsia="zh-CN"/>
        </w:rPr>
        <w:t>线中心轴上指定的测量点，模体表面到校准点的深度为校准深度 (</w:t>
      </w:r>
      <w:r>
        <w:rPr>
          <w:rFonts w:hint="default" w:ascii="Times New Roman" w:hAnsi="Times New Roman" w:cs="Times New Roman"/>
          <w:i/>
          <w:iCs/>
          <w:color w:val="auto"/>
          <w:highlight w:val="none"/>
          <w:lang w:val="en-US" w:eastAsia="zh-CN"/>
        </w:rPr>
        <w:t>d</w:t>
      </w:r>
      <w:r>
        <w:rPr>
          <w:rFonts w:hint="default" w:ascii="Times New Roman" w:hAnsi="Times New Roman" w:cs="Times New Roman"/>
          <w:color w:val="auto"/>
          <w:highlight w:val="none"/>
          <w:vertAlign w:val="subscript"/>
          <w:lang w:val="en-US" w:eastAsia="zh-CN"/>
        </w:rPr>
        <w:t>0</w:t>
      </w:r>
      <w:r>
        <w:rPr>
          <w:rFonts w:hint="default" w:ascii="Times New Roman" w:hAnsi="Times New Roman" w:cs="Times New Roman"/>
          <w:color w:val="auto"/>
          <w:highlight w:val="none"/>
          <w:lang w:val="en-US" w:eastAsia="zh-CN"/>
        </w:rPr>
        <w:t>)。</w:t>
      </w:r>
      <w:r>
        <w:rPr>
          <w:rFonts w:hint="default" w:ascii="Times New Roman" w:hAnsi="Times New Roman" w:cs="Times New Roman"/>
          <w:color w:val="auto"/>
          <w:highlight w:val="none"/>
          <w:vertAlign w:val="superscript"/>
          <w:lang w:val="en-US" w:eastAsia="zh-CN"/>
        </w:rPr>
        <w:t>60</w:t>
      </w:r>
      <w:r>
        <w:rPr>
          <w:rFonts w:hint="default" w:ascii="Times New Roman" w:hAnsi="Times New Roman" w:cs="Times New Roman"/>
          <w:color w:val="auto"/>
          <w:highlight w:val="none"/>
          <w:lang w:val="en-US" w:eastAsia="zh-CN"/>
        </w:rPr>
        <w:t>Coγ射线</w:t>
      </w:r>
      <w:r>
        <w:rPr>
          <w:rFonts w:hint="default" w:ascii="Times New Roman" w:hAnsi="Times New Roman" w:cs="Times New Roman"/>
          <w:i/>
          <w:iCs/>
          <w:color w:val="auto"/>
          <w:highlight w:val="none"/>
          <w:lang w:val="en-US" w:eastAsia="zh-CN"/>
        </w:rPr>
        <w:t>d</w:t>
      </w:r>
      <w:r>
        <w:rPr>
          <w:rFonts w:hint="default" w:ascii="Times New Roman" w:hAnsi="Times New Roman" w:cs="Times New Roman"/>
          <w:color w:val="auto"/>
          <w:highlight w:val="none"/>
          <w:vertAlign w:val="subscript"/>
          <w:lang w:val="en-US" w:eastAsia="zh-CN"/>
        </w:rPr>
        <w:t>0</w:t>
      </w:r>
      <w:r>
        <w:rPr>
          <w:rFonts w:hint="default" w:ascii="Times New Roman" w:hAnsi="Times New Roman" w:cs="Times New Roman"/>
          <w:color w:val="auto"/>
          <w:highlight w:val="none"/>
          <w:lang w:val="en-US" w:eastAsia="zh-CN"/>
        </w:rPr>
        <w:t>为水下5 cm；医用电子直线加速器产生的高能光子束</w:t>
      </w:r>
      <w:r>
        <w:rPr>
          <w:rFonts w:hint="default" w:ascii="Times New Roman" w:hAnsi="Times New Roman" w:cs="Times New Roman"/>
          <w:i/>
          <w:iCs/>
          <w:color w:val="auto"/>
          <w:highlight w:val="none"/>
          <w:lang w:val="en-US" w:eastAsia="zh-CN"/>
        </w:rPr>
        <w:t>d</w:t>
      </w:r>
      <w:r>
        <w:rPr>
          <w:rFonts w:hint="default" w:ascii="Times New Roman" w:hAnsi="Times New Roman" w:cs="Times New Roman"/>
          <w:color w:val="auto"/>
          <w:highlight w:val="none"/>
          <w:vertAlign w:val="subscript"/>
          <w:lang w:val="en-US" w:eastAsia="zh-CN"/>
        </w:rPr>
        <w:t>0</w:t>
      </w:r>
      <w:r>
        <w:rPr>
          <w:rFonts w:hint="default" w:ascii="Times New Roman" w:hAnsi="Times New Roman" w:cs="Times New Roman"/>
          <w:color w:val="auto"/>
          <w:highlight w:val="none"/>
          <w:lang w:val="en-US" w:eastAsia="zh-CN"/>
        </w:rPr>
        <w:t>为水下10 cm，高能电子束</w:t>
      </w:r>
      <w:r>
        <w:rPr>
          <w:rFonts w:hint="default" w:ascii="Times New Roman" w:hAnsi="Times New Roman" w:cs="Times New Roman"/>
          <w:i/>
          <w:iCs/>
          <w:color w:val="auto"/>
          <w:highlight w:val="none"/>
          <w:lang w:val="en-US" w:eastAsia="zh-CN"/>
        </w:rPr>
        <w:t>d</w:t>
      </w:r>
      <w:r>
        <w:rPr>
          <w:rFonts w:hint="default" w:ascii="Times New Roman" w:hAnsi="Times New Roman" w:cs="Times New Roman"/>
          <w:color w:val="auto"/>
          <w:highlight w:val="none"/>
          <w:vertAlign w:val="subscript"/>
          <w:lang w:val="en-US" w:eastAsia="zh-CN"/>
        </w:rPr>
        <w:t>0</w:t>
      </w:r>
      <w:r>
        <w:rPr>
          <w:rFonts w:hint="default" w:ascii="Times New Roman" w:hAnsi="Times New Roman" w:cs="Times New Roman"/>
          <w:color w:val="auto"/>
          <w:highlight w:val="none"/>
          <w:lang w:val="en-US" w:eastAsia="zh-CN"/>
        </w:rPr>
        <w:t>为（0.6</w:t>
      </w:r>
      <w:r>
        <w:rPr>
          <w:rFonts w:hint="default" w:ascii="Times New Roman" w:hAnsi="Times New Roman" w:cs="Times New Roman"/>
          <w:i/>
          <w:iCs/>
          <w:color w:val="auto"/>
          <w:highlight w:val="none"/>
          <w:lang w:val="en-US" w:eastAsia="zh-CN"/>
        </w:rPr>
        <w:t>R</w:t>
      </w:r>
      <w:r>
        <w:rPr>
          <w:rFonts w:hint="default" w:ascii="Times New Roman" w:hAnsi="Times New Roman" w:cs="Times New Roman"/>
          <w:color w:val="auto"/>
          <w:highlight w:val="none"/>
          <w:vertAlign w:val="subscript"/>
          <w:lang w:val="en-US" w:eastAsia="zh-CN"/>
        </w:rPr>
        <w:t>50</w:t>
      </w:r>
      <w:r>
        <w:rPr>
          <w:rFonts w:hint="default" w:ascii="Times New Roman" w:hAnsi="Times New Roman" w:cs="Times New Roman"/>
          <w:color w:val="auto"/>
          <w:highlight w:val="none"/>
          <w:lang w:val="en-US" w:eastAsia="zh-CN"/>
        </w:rPr>
        <w:t>-0.1） cm，其中</w:t>
      </w:r>
      <w:r>
        <w:rPr>
          <w:rFonts w:hint="default" w:ascii="Times New Roman" w:hAnsi="Times New Roman" w:cs="Times New Roman"/>
          <w:i/>
          <w:iCs/>
          <w:color w:val="auto"/>
          <w:highlight w:val="none"/>
          <w:lang w:val="en-US" w:eastAsia="zh-CN"/>
        </w:rPr>
        <w:t>R</w:t>
      </w:r>
      <w:r>
        <w:rPr>
          <w:rFonts w:hint="default" w:ascii="Times New Roman" w:hAnsi="Times New Roman" w:cs="Times New Roman"/>
          <w:color w:val="auto"/>
          <w:highlight w:val="none"/>
          <w:vertAlign w:val="subscript"/>
          <w:lang w:val="en-US" w:eastAsia="zh-CN"/>
        </w:rPr>
        <w:t>50</w:t>
      </w:r>
      <w:r>
        <w:rPr>
          <w:rFonts w:hint="default" w:ascii="Times New Roman" w:hAnsi="Times New Roman" w:cs="Times New Roman"/>
          <w:color w:val="auto"/>
          <w:highlight w:val="none"/>
          <w:lang w:val="en-US" w:eastAsia="zh-CN"/>
        </w:rPr>
        <w:t>为电子束最大剂量50%对应深度值；</w:t>
      </w:r>
      <w:r>
        <w:rPr>
          <w:rFonts w:hint="eastAsia" w:cs="Times New Roman"/>
          <w:color w:val="auto"/>
          <w:highlight w:val="none"/>
          <w:lang w:val="en-US" w:eastAsia="zh-CN"/>
        </w:rPr>
        <w:t>轻离子</w:t>
      </w:r>
      <w:r>
        <w:rPr>
          <w:rFonts w:hint="default" w:ascii="Times New Roman" w:hAnsi="Times New Roman" w:cs="Times New Roman"/>
          <w:color w:val="auto"/>
          <w:highlight w:val="none"/>
          <w:lang w:val="en-US" w:eastAsia="zh-CN"/>
        </w:rPr>
        <w:t>质子放射治疗系统产生的</w:t>
      </w:r>
      <w:r>
        <w:rPr>
          <w:rFonts w:hint="eastAsia" w:cs="Times New Roman"/>
          <w:color w:val="auto"/>
          <w:highlight w:val="none"/>
          <w:lang w:val="en-US" w:eastAsia="zh-CN"/>
        </w:rPr>
        <w:t>碳</w:t>
      </w:r>
      <w:r>
        <w:rPr>
          <w:rFonts w:hint="default" w:ascii="Times New Roman" w:hAnsi="Times New Roman" w:cs="Times New Roman"/>
          <w:color w:val="auto"/>
          <w:highlight w:val="none"/>
          <w:lang w:val="en-US" w:eastAsia="zh-CN"/>
        </w:rPr>
        <w:t>离子和质子束</w:t>
      </w:r>
      <w:r>
        <w:rPr>
          <w:rFonts w:hint="default" w:ascii="Times New Roman" w:hAnsi="Times New Roman" w:cs="Times New Roman"/>
          <w:i/>
          <w:iCs/>
          <w:color w:val="auto"/>
          <w:highlight w:val="none"/>
          <w:lang w:val="en-US" w:eastAsia="zh-CN"/>
        </w:rPr>
        <w:t>d</w:t>
      </w:r>
      <w:r>
        <w:rPr>
          <w:rFonts w:hint="default" w:ascii="Times New Roman" w:hAnsi="Times New Roman" w:cs="Times New Roman"/>
          <w:color w:val="auto"/>
          <w:highlight w:val="none"/>
          <w:vertAlign w:val="subscript"/>
          <w:lang w:val="en-US" w:eastAsia="zh-CN"/>
        </w:rPr>
        <w:t>0</w:t>
      </w:r>
      <w:r>
        <w:rPr>
          <w:rFonts w:hint="default" w:ascii="Times New Roman" w:hAnsi="Times New Roman" w:cs="Times New Roman"/>
          <w:color w:val="auto"/>
          <w:highlight w:val="none"/>
          <w:lang w:val="en-US" w:eastAsia="zh-CN"/>
        </w:rPr>
        <w:t>为展宽布拉格峰（SOBP）中心或单能射束坪区。</w:t>
      </w:r>
    </w:p>
    <w:bookmarkEnd w:id="30"/>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rPr>
      </w:pPr>
      <w:bookmarkStart w:id="91" w:name="_Toc29944"/>
      <w:bookmarkStart w:id="92" w:name="_Toc24098"/>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rPr>
      </w:pPr>
      <w:r>
        <w:rPr>
          <w:rFonts w:hint="default" w:ascii="Times New Roman" w:hAnsi="Times New Roman" w:cs="Times New Roman"/>
          <w:color w:val="auto"/>
        </w:rPr>
        <w:t>3.2　计量单位</w:t>
      </w:r>
      <w:bookmarkEnd w:id="91"/>
      <w:bookmarkEnd w:id="92"/>
    </w:p>
    <w:p>
      <w:pPr>
        <w:spacing w:line="360" w:lineRule="auto"/>
        <w:rPr>
          <w:rFonts w:hint="default" w:ascii="Times New Roman" w:hAnsi="Times New Roman" w:cs="Times New Roman"/>
          <w:color w:val="auto"/>
        </w:rPr>
      </w:pPr>
      <w:r>
        <w:rPr>
          <w:rFonts w:hint="default" w:ascii="Times New Roman" w:hAnsi="Times New Roman" w:cs="Times New Roman"/>
          <w:color w:val="auto"/>
        </w:rPr>
        <w:tab/>
      </w:r>
      <w:r>
        <w:rPr>
          <w:rFonts w:hint="default" w:ascii="Times New Roman" w:hAnsi="Times New Roman" w:cs="Times New Roman"/>
          <w:color w:val="auto"/>
          <w:lang w:val="en-US" w:eastAsia="zh-CN"/>
        </w:rPr>
        <w:t>水吸收剂量</w:t>
      </w:r>
      <w:r>
        <w:rPr>
          <w:rFonts w:hint="default" w:ascii="Times New Roman" w:hAnsi="Times New Roman" w:cs="Times New Roman"/>
          <w:color w:val="auto"/>
        </w:rPr>
        <w:t>的单位：</w:t>
      </w:r>
      <w:r>
        <w:rPr>
          <w:rFonts w:hint="default" w:ascii="Times New Roman" w:hAnsi="Times New Roman" w:cs="Times New Roman"/>
          <w:color w:val="auto"/>
          <w:lang w:val="en-US" w:eastAsia="zh-CN"/>
        </w:rPr>
        <w:t>焦耳每千克，戈瑞</w:t>
      </w:r>
      <w:r>
        <w:rPr>
          <w:rFonts w:hint="default" w:ascii="Times New Roman" w:hAnsi="Times New Roman" w:cs="Times New Roman"/>
          <w:color w:val="auto"/>
        </w:rPr>
        <w:t>；符号：</w:t>
      </w:r>
      <w:r>
        <w:rPr>
          <w:rFonts w:hint="default" w:ascii="Times New Roman" w:hAnsi="Times New Roman" w:cs="Times New Roman"/>
          <w:color w:val="auto"/>
          <w:lang w:val="en-US" w:eastAsia="zh-CN"/>
        </w:rPr>
        <w:t>Gy，1 Gy=1 J/kg</w:t>
      </w:r>
      <w:r>
        <w:rPr>
          <w:rFonts w:hint="default" w:ascii="Times New Roman" w:hAnsi="Times New Roman" w:cs="Times New Roman"/>
          <w:color w:val="auto"/>
        </w:rPr>
        <w:t>。</w:t>
      </w:r>
    </w:p>
    <w:p>
      <w:pPr>
        <w:pStyle w:val="3"/>
        <w:numPr>
          <w:ilvl w:val="0"/>
          <w:numId w:val="0"/>
        </w:numPr>
        <w:spacing w:before="156" w:beforeLines="50" w:after="156" w:afterLines="50" w:line="360" w:lineRule="auto"/>
        <w:ind w:right="240"/>
        <w:rPr>
          <w:rFonts w:hint="default" w:ascii="Times New Roman" w:hAnsi="Times New Roman" w:cs="Times New Roman"/>
          <w:b w:val="0"/>
          <w:color w:val="auto"/>
        </w:rPr>
      </w:pPr>
      <w:bookmarkStart w:id="93" w:name="_Toc385618199"/>
      <w:bookmarkStart w:id="94" w:name="_Toc12848"/>
      <w:bookmarkStart w:id="95" w:name="_Toc435086160"/>
      <w:r>
        <w:rPr>
          <w:rFonts w:hint="default" w:ascii="Times New Roman" w:hAnsi="Times New Roman" w:cs="Times New Roman"/>
          <w:b w:val="0"/>
          <w:color w:val="auto"/>
          <w:lang w:val="en-US" w:eastAsia="zh-CN"/>
        </w:rPr>
        <w:t xml:space="preserve">4  </w:t>
      </w:r>
      <w:r>
        <w:rPr>
          <w:rFonts w:hint="default" w:ascii="Times New Roman" w:hAnsi="Times New Roman" w:cs="Times New Roman"/>
          <w:b w:val="0"/>
          <w:color w:val="auto"/>
        </w:rPr>
        <w:t>概述</w:t>
      </w:r>
      <w:bookmarkEnd w:id="93"/>
      <w:bookmarkEnd w:id="94"/>
      <w:bookmarkEnd w:id="95"/>
    </w:p>
    <w:p>
      <w:pPr>
        <w:pStyle w:val="110"/>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rPr>
      </w:pPr>
      <w:r>
        <w:rPr>
          <w:rFonts w:hint="default" w:ascii="Times New Roman" w:hAnsi="Times New Roman" w:cs="Times New Roman"/>
          <w:color w:val="auto"/>
          <w:sz w:val="24"/>
          <w:lang w:val="en-US" w:eastAsia="zh-CN"/>
        </w:rPr>
        <w:t>固体</w:t>
      </w:r>
      <w:r>
        <w:rPr>
          <w:rFonts w:hint="default" w:ascii="Times New Roman" w:hAnsi="Times New Roman" w:cs="Times New Roman"/>
          <w:color w:val="auto"/>
          <w:sz w:val="24"/>
        </w:rPr>
        <w:t>剂量计由</w:t>
      </w:r>
      <w:r>
        <w:rPr>
          <w:rFonts w:hint="default" w:ascii="Times New Roman" w:hAnsi="Times New Roman" w:cs="Times New Roman"/>
          <w:color w:val="auto"/>
          <w:sz w:val="24"/>
          <w:lang w:val="en-US" w:eastAsia="zh-CN"/>
        </w:rPr>
        <w:t>一些具有电离辐射效应的材料制成</w:t>
      </w:r>
      <w:r>
        <w:rPr>
          <w:rFonts w:hint="eastAsia" w:ascii="Times New Roman" w:hAnsi="Times New Roman" w:cs="Times New Roman"/>
          <w:color w:val="auto"/>
          <w:sz w:val="24"/>
          <w:lang w:val="en-US" w:eastAsia="zh-CN"/>
        </w:rPr>
        <w:t>的</w:t>
      </w:r>
      <w:r>
        <w:rPr>
          <w:rFonts w:hint="default" w:ascii="Times New Roman" w:hAnsi="Times New Roman" w:cs="Times New Roman"/>
          <w:color w:val="auto"/>
          <w:sz w:val="24"/>
          <w:lang w:val="en-US" w:eastAsia="zh-CN"/>
        </w:rPr>
        <w:t>标准探测器单元</w:t>
      </w:r>
      <w:r>
        <w:rPr>
          <w:rFonts w:hint="default" w:ascii="Times New Roman" w:hAnsi="Times New Roman" w:cs="Times New Roman"/>
          <w:color w:val="auto"/>
          <w:sz w:val="24"/>
        </w:rPr>
        <w:t>和</w:t>
      </w:r>
      <w:r>
        <w:rPr>
          <w:rFonts w:hint="default" w:ascii="Times New Roman" w:hAnsi="Times New Roman" w:cs="Times New Roman"/>
          <w:color w:val="auto"/>
          <w:sz w:val="24"/>
          <w:lang w:val="en-US" w:eastAsia="zh-CN"/>
        </w:rPr>
        <w:t>读数系统</w:t>
      </w:r>
      <w:r>
        <w:rPr>
          <w:rFonts w:hint="default" w:ascii="Times New Roman" w:hAnsi="Times New Roman" w:cs="Times New Roman"/>
          <w:color w:val="auto"/>
          <w:sz w:val="24"/>
        </w:rPr>
        <w:t>两大部分组成。</w:t>
      </w:r>
      <w:r>
        <w:rPr>
          <w:rFonts w:hint="default" w:ascii="Times New Roman" w:hAnsi="Times New Roman" w:cs="Times New Roman"/>
          <w:color w:val="auto"/>
          <w:sz w:val="24"/>
          <w:lang w:val="en-US" w:eastAsia="zh-CN"/>
        </w:rPr>
        <w:t>具有电离辐射效应的材料包括丙氨酸、光</w:t>
      </w:r>
      <w:r>
        <w:rPr>
          <w:rFonts w:hint="eastAsia" w:ascii="Times New Roman" w:hAnsi="Times New Roman" w:cs="Times New Roman"/>
          <w:color w:val="auto"/>
          <w:sz w:val="24"/>
          <w:lang w:val="en-US" w:eastAsia="zh-CN"/>
        </w:rPr>
        <w:t>释</w:t>
      </w:r>
      <w:r>
        <w:rPr>
          <w:rFonts w:hint="default" w:ascii="Times New Roman" w:hAnsi="Times New Roman" w:cs="Times New Roman"/>
          <w:color w:val="auto"/>
          <w:sz w:val="24"/>
          <w:lang w:val="en-US" w:eastAsia="zh-CN"/>
        </w:rPr>
        <w:t>光</w:t>
      </w:r>
      <w:r>
        <w:rPr>
          <w:rFonts w:hint="eastAsia" w:ascii="Times New Roman" w:hAnsi="Times New Roman" w:cs="Times New Roman"/>
          <w:color w:val="auto"/>
          <w:sz w:val="24"/>
          <w:lang w:val="en-US" w:eastAsia="zh-CN"/>
        </w:rPr>
        <w:t>、</w:t>
      </w:r>
      <w:r>
        <w:rPr>
          <w:rFonts w:hint="default" w:ascii="Times New Roman" w:hAnsi="Times New Roman" w:cs="Times New Roman"/>
          <w:color w:val="auto"/>
          <w:sz w:val="24"/>
          <w:lang w:val="en-US" w:eastAsia="zh-CN"/>
        </w:rPr>
        <w:t>热释光</w:t>
      </w:r>
      <w:r>
        <w:rPr>
          <w:rFonts w:hint="eastAsia" w:ascii="Times New Roman" w:hAnsi="Times New Roman" w:cs="Times New Roman"/>
          <w:color w:val="auto"/>
          <w:sz w:val="24"/>
          <w:lang w:val="en-US" w:eastAsia="zh-CN"/>
        </w:rPr>
        <w:t>和</w:t>
      </w:r>
      <w:r>
        <w:rPr>
          <w:rFonts w:hint="default" w:ascii="Times New Roman" w:hAnsi="Times New Roman" w:cs="Times New Roman"/>
          <w:color w:val="auto"/>
          <w:sz w:val="24"/>
          <w:lang w:val="en-US" w:eastAsia="zh-CN"/>
        </w:rPr>
        <w:t>辐射光致发光材料等，按照放疗剂量测量需求制成的直径或边长小于5 mm，厚度小于3 mm的柱状或方形探测器，为减小分散性或降低不确定度等目的以一定的组合或单独作为一个标准探测器单元</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读数系统为针对</w:t>
      </w:r>
      <w:r>
        <w:rPr>
          <w:rFonts w:hint="default" w:ascii="Times New Roman" w:hAnsi="Times New Roman" w:cs="Times New Roman"/>
          <w:color w:val="auto"/>
          <w:sz w:val="24"/>
          <w:highlight w:val="none"/>
          <w:lang w:val="en-US" w:eastAsia="zh-CN"/>
        </w:rPr>
        <w:t>丙氨酸的电子自旋共振波谱仪，针对光</w:t>
      </w:r>
      <w:r>
        <w:rPr>
          <w:rFonts w:hint="eastAsia" w:ascii="Times New Roman" w:hAnsi="Times New Roman" w:cs="Times New Roman"/>
          <w:color w:val="auto"/>
          <w:sz w:val="24"/>
          <w:highlight w:val="none"/>
          <w:lang w:val="en-US" w:eastAsia="zh-CN"/>
        </w:rPr>
        <w:t>释</w:t>
      </w:r>
      <w:r>
        <w:rPr>
          <w:rFonts w:hint="default" w:ascii="Times New Roman" w:hAnsi="Times New Roman" w:cs="Times New Roman"/>
          <w:color w:val="auto"/>
          <w:sz w:val="24"/>
          <w:highlight w:val="none"/>
          <w:lang w:val="en-US" w:eastAsia="zh-CN"/>
        </w:rPr>
        <w:t>光材料的光</w:t>
      </w:r>
      <w:r>
        <w:rPr>
          <w:rFonts w:hint="eastAsia" w:ascii="Times New Roman" w:hAnsi="Times New Roman" w:cs="Times New Roman"/>
          <w:color w:val="auto"/>
          <w:sz w:val="24"/>
          <w:highlight w:val="none"/>
          <w:lang w:val="en-US" w:eastAsia="zh-CN"/>
        </w:rPr>
        <w:t>释</w:t>
      </w:r>
      <w:r>
        <w:rPr>
          <w:rFonts w:hint="default" w:ascii="Times New Roman" w:hAnsi="Times New Roman" w:cs="Times New Roman"/>
          <w:color w:val="auto"/>
          <w:sz w:val="24"/>
          <w:highlight w:val="none"/>
          <w:lang w:val="en-US" w:eastAsia="zh-CN"/>
        </w:rPr>
        <w:t>光剂量计读出器</w:t>
      </w:r>
      <w:r>
        <w:rPr>
          <w:rFonts w:hint="eastAsia" w:ascii="Times New Roman" w:hAnsi="Times New Roman" w:cs="Times New Roman"/>
          <w:color w:val="auto"/>
          <w:sz w:val="24"/>
          <w:highlight w:val="none"/>
          <w:lang w:val="en-US" w:eastAsia="zh-CN"/>
        </w:rPr>
        <w:t>，</w:t>
      </w:r>
      <w:r>
        <w:rPr>
          <w:rFonts w:hint="default" w:ascii="Times New Roman" w:hAnsi="Times New Roman" w:cs="Times New Roman"/>
          <w:color w:val="auto"/>
          <w:sz w:val="24"/>
          <w:highlight w:val="none"/>
          <w:lang w:val="en-US" w:eastAsia="zh-CN"/>
        </w:rPr>
        <w:t>针针对热释光材料的热释光剂量计读出器</w:t>
      </w:r>
      <w:r>
        <w:rPr>
          <w:rFonts w:hint="eastAsia" w:ascii="Times New Roman" w:hAnsi="Times New Roman" w:cs="Times New Roman"/>
          <w:color w:val="auto"/>
          <w:sz w:val="24"/>
          <w:highlight w:val="none"/>
          <w:lang w:val="en-US" w:eastAsia="zh-CN"/>
        </w:rPr>
        <w:t>和针对辐射光</w:t>
      </w:r>
      <w:r>
        <w:rPr>
          <w:rFonts w:hint="default" w:ascii="Times New Roman" w:hAnsi="Times New Roman" w:cs="Times New Roman"/>
          <w:color w:val="auto"/>
          <w:sz w:val="24"/>
          <w:highlight w:val="none"/>
          <w:lang w:val="en-US" w:eastAsia="zh-CN"/>
        </w:rPr>
        <w:t>致发光材料的</w:t>
      </w:r>
      <w:r>
        <w:rPr>
          <w:rFonts w:hint="eastAsia" w:ascii="Times New Roman" w:hAnsi="Times New Roman" w:cs="Times New Roman"/>
          <w:color w:val="auto"/>
          <w:sz w:val="24"/>
          <w:highlight w:val="none"/>
          <w:lang w:val="en-US" w:eastAsia="zh-CN"/>
        </w:rPr>
        <w:t>辐射</w:t>
      </w:r>
      <w:r>
        <w:rPr>
          <w:rFonts w:hint="default" w:ascii="Times New Roman" w:hAnsi="Times New Roman" w:cs="Times New Roman"/>
          <w:color w:val="auto"/>
          <w:sz w:val="24"/>
          <w:highlight w:val="none"/>
          <w:lang w:val="en-US" w:eastAsia="zh-CN"/>
        </w:rPr>
        <w:t>光致发光剂量计读出器</w:t>
      </w:r>
      <w:r>
        <w:rPr>
          <w:rFonts w:hint="eastAsia" w:ascii="Times New Roman" w:hAnsi="Times New Roman" w:cs="Times New Roman"/>
          <w:color w:val="auto"/>
          <w:sz w:val="24"/>
          <w:highlight w:val="none"/>
          <w:lang w:val="en-US" w:eastAsia="zh-CN"/>
        </w:rPr>
        <w:t>等</w:t>
      </w:r>
      <w:r>
        <w:rPr>
          <w:rFonts w:hint="default" w:ascii="Times New Roman" w:hAnsi="Times New Roman" w:cs="Times New Roman"/>
          <w:color w:val="auto"/>
          <w:sz w:val="24"/>
          <w:highlight w:val="none"/>
        </w:rPr>
        <w:t>。</w:t>
      </w:r>
    </w:p>
    <w:p>
      <w:pPr>
        <w:pStyle w:val="3"/>
        <w:numPr>
          <w:ilvl w:val="0"/>
          <w:numId w:val="0"/>
        </w:numPr>
        <w:spacing w:before="156" w:beforeLines="50" w:after="156" w:afterLines="50" w:line="360" w:lineRule="auto"/>
        <w:ind w:right="240"/>
        <w:rPr>
          <w:rFonts w:hint="default" w:ascii="Times New Roman" w:hAnsi="Times New Roman" w:cs="Times New Roman"/>
          <w:b w:val="0"/>
          <w:color w:val="auto"/>
        </w:rPr>
      </w:pPr>
      <w:bookmarkStart w:id="96" w:name="_Toc26224"/>
      <w:bookmarkStart w:id="97" w:name="_Toc385618200"/>
      <w:bookmarkStart w:id="98" w:name="_Toc435086161"/>
      <w:r>
        <w:rPr>
          <w:rFonts w:hint="default" w:ascii="Times New Roman" w:hAnsi="Times New Roman" w:cs="Times New Roman"/>
          <w:b w:val="0"/>
          <w:color w:val="auto"/>
          <w:lang w:val="en-US" w:eastAsia="zh-CN"/>
        </w:rPr>
        <w:t xml:space="preserve">5  </w:t>
      </w:r>
      <w:r>
        <w:rPr>
          <w:rFonts w:hint="default" w:ascii="Times New Roman" w:hAnsi="Times New Roman" w:cs="Times New Roman"/>
          <w:b w:val="0"/>
          <w:color w:val="auto"/>
        </w:rPr>
        <w:t>计量特性</w:t>
      </w:r>
      <w:bookmarkEnd w:id="96"/>
      <w:bookmarkEnd w:id="97"/>
      <w:bookmarkEnd w:id="98"/>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rPr>
      </w:pPr>
      <w:bookmarkStart w:id="99" w:name="_Toc11049"/>
      <w:r>
        <w:rPr>
          <w:rFonts w:hint="default" w:ascii="Times New Roman" w:hAnsi="Times New Roman" w:cs="Times New Roman"/>
          <w:color w:val="auto"/>
          <w:lang w:val="en-US" w:eastAsia="zh-CN"/>
        </w:rPr>
        <w:t>5.1 固体</w:t>
      </w:r>
      <w:r>
        <w:rPr>
          <w:rFonts w:hint="default" w:ascii="Times New Roman" w:hAnsi="Times New Roman" w:cs="Times New Roman"/>
          <w:color w:val="auto"/>
        </w:rPr>
        <w:t>剂量计的计量特性</w:t>
      </w:r>
      <w:bookmarkEnd w:id="9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rPr>
      </w:pPr>
      <w:r>
        <w:rPr>
          <w:rFonts w:hint="default" w:ascii="Times New Roman" w:hAnsi="Times New Roman" w:cs="Times New Roman"/>
          <w:color w:val="auto"/>
        </w:rPr>
        <w:t>固体剂量计各项目的计量特性</w:t>
      </w:r>
      <w:r>
        <w:rPr>
          <w:rFonts w:hint="default" w:ascii="Times New Roman" w:hAnsi="Times New Roman" w:cs="Times New Roman"/>
          <w:color w:val="auto"/>
          <w:lang w:val="en-US" w:eastAsia="zh-CN"/>
        </w:rPr>
        <w:t>应</w:t>
      </w:r>
      <w:r>
        <w:rPr>
          <w:rFonts w:hint="default" w:ascii="Times New Roman" w:hAnsi="Times New Roman" w:cs="Times New Roman"/>
          <w:color w:val="auto"/>
        </w:rPr>
        <w:t>不超过表1的规定。</w:t>
      </w:r>
    </w:p>
    <w:p>
      <w:pPr>
        <w:spacing w:line="360" w:lineRule="auto"/>
        <w:jc w:val="center"/>
        <w:rPr>
          <w:rFonts w:hint="default" w:ascii="Times New Roman" w:hAnsi="Times New Roman" w:eastAsia="黑体" w:cs="Times New Roman"/>
          <w:color w:val="auto"/>
          <w:szCs w:val="21"/>
        </w:rPr>
      </w:pPr>
      <w:r>
        <w:rPr>
          <w:rFonts w:hint="default" w:ascii="Times New Roman" w:hAnsi="Times New Roman" w:eastAsia="黑体" w:cs="Times New Roman"/>
          <w:color w:val="auto"/>
          <w:szCs w:val="21"/>
        </w:rPr>
        <w:t>表1 计量特性</w:t>
      </w:r>
    </w:p>
    <w:tbl>
      <w:tblPr>
        <w:tblStyle w:val="8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176"/>
        <w:gridCol w:w="689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91" w:hRule="atLeast"/>
          <w:jc w:val="center"/>
        </w:trPr>
        <w:tc>
          <w:tcPr>
            <w:tcW w:w="0" w:type="auto"/>
            <w:noWrap w:val="0"/>
            <w:vAlign w:val="center"/>
          </w:tcPr>
          <w:p>
            <w:pPr>
              <w:widowControl/>
              <w:jc w:val="center"/>
              <w:rPr>
                <w:rFonts w:hint="default" w:ascii="Times New Roman" w:hAnsi="Times New Roman" w:cs="Times New Roman"/>
                <w:color w:val="auto"/>
                <w:szCs w:val="21"/>
              </w:rPr>
            </w:pPr>
            <w:r>
              <w:rPr>
                <w:rFonts w:hint="default" w:ascii="Times New Roman" w:hAnsi="Times New Roman" w:cs="Times New Roman"/>
                <w:color w:val="auto"/>
                <w:szCs w:val="21"/>
              </w:rPr>
              <w:t>项  目</w:t>
            </w:r>
          </w:p>
        </w:tc>
        <w:tc>
          <w:tcPr>
            <w:tcW w:w="0" w:type="auto"/>
            <w:noWrap w:val="0"/>
            <w:vAlign w:val="center"/>
          </w:tcPr>
          <w:p>
            <w:pPr>
              <w:widowControl/>
              <w:spacing w:line="360" w:lineRule="auto"/>
              <w:jc w:val="center"/>
              <w:rPr>
                <w:rFonts w:hint="default" w:ascii="Times New Roman" w:hAnsi="Times New Roman" w:eastAsia="宋体" w:cs="Times New Roman"/>
                <w:color w:val="auto"/>
                <w:lang w:val="en-US" w:eastAsia="zh-CN"/>
              </w:rPr>
            </w:pPr>
            <w:r>
              <w:rPr>
                <w:rFonts w:hint="default" w:ascii="Times New Roman" w:hAnsi="Times New Roman" w:cs="Times New Roman"/>
                <w:color w:val="auto"/>
                <w:szCs w:val="21"/>
                <w:lang w:val="en-US" w:eastAsia="zh-CN"/>
              </w:rPr>
              <w:t>丙氨酸剂量计/光</w:t>
            </w:r>
            <w:r>
              <w:rPr>
                <w:rFonts w:hint="eastAsia" w:cs="Times New Roman"/>
                <w:color w:val="auto"/>
                <w:szCs w:val="21"/>
                <w:lang w:val="en-US" w:eastAsia="zh-CN"/>
              </w:rPr>
              <w:t>释</w:t>
            </w:r>
            <w:r>
              <w:rPr>
                <w:rFonts w:hint="default" w:ascii="Times New Roman" w:hAnsi="Times New Roman" w:cs="Times New Roman"/>
                <w:color w:val="auto"/>
                <w:szCs w:val="21"/>
                <w:lang w:val="en-US" w:eastAsia="zh-CN"/>
              </w:rPr>
              <w:t>光剂量计/热释光剂量计</w:t>
            </w:r>
            <w:r>
              <w:rPr>
                <w:rFonts w:hint="eastAsia" w:cs="Times New Roman"/>
                <w:color w:val="auto"/>
                <w:szCs w:val="21"/>
                <w:lang w:val="en-US" w:eastAsia="zh-CN"/>
              </w:rPr>
              <w:t>/辐射</w:t>
            </w:r>
            <w:r>
              <w:rPr>
                <w:rFonts w:hint="default" w:ascii="Times New Roman" w:hAnsi="Times New Roman" w:cs="Times New Roman"/>
                <w:color w:val="auto"/>
                <w:szCs w:val="21"/>
                <w:lang w:val="en-US" w:eastAsia="zh-CN"/>
              </w:rPr>
              <w:t>光</w:t>
            </w:r>
            <w:r>
              <w:rPr>
                <w:rFonts w:hint="eastAsia" w:cs="Times New Roman"/>
                <w:color w:val="auto"/>
                <w:szCs w:val="21"/>
                <w:lang w:val="en-US" w:eastAsia="zh-CN"/>
              </w:rPr>
              <w:t>致发光</w:t>
            </w:r>
            <w:r>
              <w:rPr>
                <w:rFonts w:hint="default" w:ascii="Times New Roman" w:hAnsi="Times New Roman" w:cs="Times New Roman"/>
                <w:color w:val="auto"/>
                <w:szCs w:val="21"/>
                <w:lang w:val="en-US" w:eastAsia="zh-CN"/>
              </w:rPr>
              <w:t>剂量计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3" w:hRule="atLeast"/>
          <w:jc w:val="center"/>
        </w:trPr>
        <w:tc>
          <w:tcPr>
            <w:tcW w:w="0" w:type="auto"/>
            <w:noWrap w:val="0"/>
            <w:vAlign w:val="center"/>
          </w:tcPr>
          <w:p>
            <w:pPr>
              <w:widowControl/>
              <w:spacing w:line="360" w:lineRule="auto"/>
              <w:jc w:val="center"/>
              <w:rPr>
                <w:rFonts w:hint="default" w:ascii="Times New Roman" w:hAnsi="Times New Roman" w:eastAsia="宋体" w:cs="Times New Roman"/>
                <w:color w:val="auto"/>
                <w:szCs w:val="21"/>
                <w:lang w:eastAsia="zh-CN"/>
              </w:rPr>
            </w:pPr>
            <w:r>
              <w:rPr>
                <w:rFonts w:hint="default" w:ascii="Times New Roman" w:hAnsi="Times New Roman" w:cs="Times New Roman"/>
                <w:color w:val="auto"/>
                <w:szCs w:val="21"/>
                <w:lang w:val="en-US" w:eastAsia="zh-CN"/>
              </w:rPr>
              <w:t>均匀性</w:t>
            </w:r>
          </w:p>
        </w:tc>
        <w:tc>
          <w:tcPr>
            <w:tcW w:w="0" w:type="auto"/>
            <w:noWrap w:val="0"/>
            <w:vAlign w:val="center"/>
          </w:tcPr>
          <w:p>
            <w:pPr>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1.5</w:t>
            </w:r>
            <w:r>
              <w:rPr>
                <w:rFonts w:hint="default" w:ascii="Times New Roman" w:hAnsi="Times New Roman" w:cs="Times New Roman"/>
                <w:color w:val="auto"/>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3" w:hRule="atLeast"/>
          <w:jc w:val="center"/>
        </w:trPr>
        <w:tc>
          <w:tcPr>
            <w:tcW w:w="0" w:type="auto"/>
            <w:noWrap w:val="0"/>
            <w:vAlign w:val="center"/>
          </w:tcPr>
          <w:p>
            <w:pPr>
              <w:widowControl/>
              <w:spacing w:line="360" w:lineRule="auto"/>
              <w:jc w:val="center"/>
              <w:rPr>
                <w:rFonts w:hint="default" w:ascii="Times New Roman" w:hAnsi="Times New Roman" w:eastAsia="宋体" w:cs="Times New Roman"/>
                <w:color w:val="auto"/>
                <w:szCs w:val="21"/>
                <w:highlight w:val="yellow"/>
                <w:lang w:eastAsia="zh-CN"/>
              </w:rPr>
            </w:pPr>
            <w:r>
              <w:rPr>
                <w:rFonts w:hint="default" w:ascii="Times New Roman" w:hAnsi="Times New Roman" w:cs="Times New Roman"/>
                <w:color w:val="auto"/>
                <w:szCs w:val="21"/>
                <w:lang w:val="en-US" w:eastAsia="zh-CN"/>
              </w:rPr>
              <w:t>重复性</w:t>
            </w:r>
          </w:p>
        </w:tc>
        <w:tc>
          <w:tcPr>
            <w:tcW w:w="0" w:type="auto"/>
            <w:noWrap w:val="0"/>
            <w:vAlign w:val="center"/>
          </w:tcPr>
          <w:p>
            <w:pPr>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1.0</w:t>
            </w:r>
            <w:r>
              <w:rPr>
                <w:rFonts w:hint="default" w:ascii="Times New Roman" w:hAnsi="Times New Roman" w:cs="Times New Roman"/>
                <w:color w:val="auto"/>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0" w:type="auto"/>
            <w:noWrap w:val="0"/>
            <w:vAlign w:val="center"/>
          </w:tcPr>
          <w:p>
            <w:pPr>
              <w:widowControl/>
              <w:spacing w:line="360" w:lineRule="auto"/>
              <w:jc w:val="center"/>
              <w:rPr>
                <w:rFonts w:hint="default" w:ascii="Times New Roman" w:hAnsi="Times New Roman" w:eastAsia="宋体" w:cs="Times New Roman"/>
                <w:color w:val="auto"/>
                <w:szCs w:val="21"/>
                <w:highlight w:val="yellow"/>
                <w:lang w:val="en-US" w:eastAsia="zh-CN"/>
              </w:rPr>
            </w:pPr>
            <w:r>
              <w:rPr>
                <w:rFonts w:hint="default" w:ascii="Times New Roman" w:hAnsi="Times New Roman" w:cs="Times New Roman"/>
                <w:color w:val="auto"/>
                <w:szCs w:val="21"/>
                <w:lang w:val="en-US" w:eastAsia="zh-CN"/>
              </w:rPr>
              <w:t>剂量线性</w:t>
            </w:r>
          </w:p>
        </w:tc>
        <w:tc>
          <w:tcPr>
            <w:tcW w:w="0" w:type="auto"/>
            <w:noWrap w:val="0"/>
            <w:vAlign w:val="center"/>
          </w:tcPr>
          <w:p>
            <w:pPr>
              <w:spacing w:line="360" w:lineRule="auto"/>
              <w:jc w:val="center"/>
              <w:rPr>
                <w:rFonts w:hint="default" w:ascii="Times New Roman" w:hAnsi="Times New Roman" w:cs="Times New Roman"/>
                <w:color w:val="auto"/>
                <w:szCs w:val="21"/>
                <w:highlight w:val="yellow"/>
              </w:rPr>
            </w:pPr>
            <w:r>
              <w:rPr>
                <w:rFonts w:hint="default" w:ascii="Times New Roman" w:hAnsi="Times New Roman" w:cs="Times New Roman"/>
                <w:color w:val="auto"/>
                <w:szCs w:val="21"/>
                <w:lang w:val="en-US" w:eastAsia="zh-CN"/>
              </w:rPr>
              <w:t>0.9998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3" w:hRule="atLeast"/>
          <w:jc w:val="center"/>
        </w:trPr>
        <w:tc>
          <w:tcPr>
            <w:tcW w:w="0" w:type="auto"/>
            <w:noWrap w:val="0"/>
            <w:vAlign w:val="center"/>
          </w:tcPr>
          <w:p>
            <w:pPr>
              <w:widowControl/>
              <w:spacing w:line="360" w:lineRule="auto"/>
              <w:jc w:val="center"/>
              <w:rPr>
                <w:rFonts w:hint="default" w:ascii="Times New Roman" w:hAnsi="Times New Roman" w:eastAsia="宋体" w:cs="Times New Roman"/>
                <w:color w:val="auto"/>
                <w:szCs w:val="21"/>
                <w:highlight w:val="yellow"/>
                <w:lang w:eastAsia="zh-CN"/>
              </w:rPr>
            </w:pPr>
            <w:r>
              <w:rPr>
                <w:rFonts w:hint="default" w:ascii="Times New Roman" w:hAnsi="Times New Roman" w:cs="Times New Roman"/>
                <w:color w:val="auto"/>
                <w:kern w:val="0"/>
                <w:szCs w:val="21"/>
                <w:lang w:val="en-US" w:eastAsia="zh-CN"/>
              </w:rPr>
              <w:t>剂量衰减</w:t>
            </w:r>
          </w:p>
        </w:tc>
        <w:tc>
          <w:tcPr>
            <w:tcW w:w="0" w:type="auto"/>
            <w:noWrap w:val="0"/>
            <w:vAlign w:val="center"/>
          </w:tcPr>
          <w:p>
            <w:pPr>
              <w:spacing w:line="360" w:lineRule="auto"/>
              <w:jc w:val="center"/>
              <w:rPr>
                <w:rFonts w:hint="default" w:ascii="Times New Roman" w:hAnsi="Times New Roman" w:cs="Times New Roman"/>
                <w:color w:val="auto"/>
                <w:szCs w:val="21"/>
                <w:highlight w:val="yellow"/>
                <w:lang w:val="en-US"/>
              </w:rPr>
            </w:pPr>
            <w:r>
              <w:rPr>
                <w:rFonts w:hint="default" w:ascii="Times New Roman" w:hAnsi="Times New Roman" w:cs="Times New Roman"/>
                <w:color w:val="auto"/>
                <w:szCs w:val="21"/>
                <w:lang w:val="en-US" w:eastAsia="zh-CN"/>
              </w:rPr>
              <w:t>可修正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3" w:hRule="atLeast"/>
          <w:jc w:val="center"/>
        </w:trPr>
        <w:tc>
          <w:tcPr>
            <w:tcW w:w="0" w:type="auto"/>
            <w:noWrap w:val="0"/>
            <w:vAlign w:val="center"/>
          </w:tcPr>
          <w:p>
            <w:pPr>
              <w:widowControl/>
              <w:spacing w:line="360" w:lineRule="auto"/>
              <w:jc w:val="center"/>
              <w:rPr>
                <w:rFonts w:hint="default" w:ascii="Times New Roman" w:hAnsi="Times New Roman" w:eastAsia="宋体" w:cs="Times New Roman"/>
                <w:color w:val="auto"/>
                <w:kern w:val="0"/>
                <w:szCs w:val="21"/>
                <w:lang w:val="en-US" w:eastAsia="zh-CN"/>
              </w:rPr>
            </w:pPr>
            <w:r>
              <w:rPr>
                <w:rFonts w:hint="default" w:ascii="Times New Roman" w:hAnsi="Times New Roman" w:cs="Times New Roman"/>
                <w:color w:val="auto"/>
                <w:kern w:val="0"/>
                <w:szCs w:val="21"/>
                <w:lang w:val="en-US" w:eastAsia="zh-CN"/>
              </w:rPr>
              <w:t>光效应</w:t>
            </w:r>
          </w:p>
        </w:tc>
        <w:tc>
          <w:tcPr>
            <w:tcW w:w="0" w:type="auto"/>
            <w:noWrap w:val="0"/>
            <w:vAlign w:val="center"/>
          </w:tcPr>
          <w:p>
            <w:pPr>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可修正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3" w:hRule="atLeast"/>
          <w:jc w:val="center"/>
        </w:trPr>
        <w:tc>
          <w:tcPr>
            <w:tcW w:w="0" w:type="auto"/>
            <w:noWrap w:val="0"/>
            <w:vAlign w:val="center"/>
          </w:tcPr>
          <w:p>
            <w:pPr>
              <w:widowControl/>
              <w:spacing w:line="360" w:lineRule="auto"/>
              <w:jc w:val="center"/>
              <w:rPr>
                <w:rFonts w:hint="default" w:ascii="Times New Roman" w:hAnsi="Times New Roman" w:cs="Times New Roman"/>
                <w:color w:val="auto"/>
                <w:kern w:val="0"/>
                <w:szCs w:val="21"/>
                <w:lang w:val="en-US" w:eastAsia="zh-CN"/>
              </w:rPr>
            </w:pPr>
            <w:r>
              <w:rPr>
                <w:rFonts w:hint="default" w:ascii="Times New Roman" w:hAnsi="Times New Roman" w:cs="Times New Roman"/>
                <w:color w:val="auto"/>
                <w:kern w:val="0"/>
                <w:szCs w:val="21"/>
                <w:lang w:val="en-US" w:eastAsia="zh-CN"/>
              </w:rPr>
              <w:t>能量响应</w:t>
            </w:r>
          </w:p>
        </w:tc>
        <w:tc>
          <w:tcPr>
            <w:tcW w:w="0" w:type="auto"/>
            <w:noWrap w:val="0"/>
            <w:vAlign w:val="center"/>
          </w:tcPr>
          <w:p>
            <w:pPr>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可修正</w:t>
            </w:r>
          </w:p>
        </w:tc>
      </w:tr>
    </w:tbl>
    <w:p>
      <w:pPr>
        <w:spacing w:line="360" w:lineRule="auto"/>
        <w:ind w:firstLine="360" w:firstLineChars="200"/>
        <w:jc w:val="left"/>
        <w:rPr>
          <w:rFonts w:hint="default" w:ascii="Times New Roman" w:hAnsi="Times New Roman" w:cs="Times New Roman" w:eastAsiaTheme="minorEastAsia"/>
          <w:color w:val="auto"/>
          <w:kern w:val="0"/>
          <w:sz w:val="18"/>
          <w:szCs w:val="18"/>
        </w:rPr>
      </w:pPr>
      <w:r>
        <w:rPr>
          <w:rFonts w:hint="default" w:ascii="Times New Roman" w:hAnsi="Times New Roman" w:eastAsia="黑体" w:cs="Times New Roman"/>
          <w:color w:val="auto"/>
          <w:kern w:val="0"/>
          <w:sz w:val="18"/>
          <w:szCs w:val="18"/>
          <w:lang w:val="en-US" w:eastAsia="zh-CN" w:bidi="ar-SA"/>
        </w:rPr>
        <w:t>注：</w:t>
      </w:r>
      <w:r>
        <w:rPr>
          <w:rFonts w:hint="default" w:ascii="Times New Roman" w:hAnsi="Times New Roman" w:cs="Times New Roman" w:eastAsiaTheme="minorEastAsia"/>
          <w:color w:val="auto"/>
          <w:sz w:val="18"/>
          <w:szCs w:val="18"/>
        </w:rPr>
        <w:t>以上指标不用于合格性判别，仅供参考。</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00" w:name="_Toc14111"/>
      <w:bookmarkStart w:id="101" w:name="_Toc2305"/>
      <w:r>
        <w:rPr>
          <w:rFonts w:hint="default" w:ascii="Times New Roman" w:hAnsi="Times New Roman" w:cs="Times New Roman"/>
          <w:color w:val="auto"/>
          <w:lang w:val="en-US" w:eastAsia="zh-CN"/>
        </w:rPr>
        <w:t>5.2 固体剂量计性能</w:t>
      </w:r>
      <w:bookmarkEnd w:id="100"/>
      <w:r>
        <w:rPr>
          <w:rFonts w:hint="default" w:ascii="Times New Roman" w:hAnsi="Times New Roman" w:cs="Times New Roman"/>
          <w:color w:val="auto"/>
          <w:lang w:val="en-US" w:eastAsia="zh-CN"/>
        </w:rPr>
        <w:t>特性测试</w:t>
      </w:r>
      <w:bookmarkEnd w:id="101"/>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02" w:name="_Toc14879"/>
      <w:bookmarkStart w:id="103" w:name="_Toc26291"/>
      <w:bookmarkStart w:id="104" w:name="_Toc1744"/>
      <w:bookmarkStart w:id="105" w:name="_Toc17058"/>
      <w:r>
        <w:rPr>
          <w:rFonts w:hint="default" w:ascii="Times New Roman" w:hAnsi="Times New Roman" w:cs="Times New Roman"/>
          <w:color w:val="auto"/>
          <w:lang w:val="en-US" w:eastAsia="zh-CN"/>
        </w:rPr>
        <w:t>5.2.1 均匀性</w:t>
      </w:r>
      <w:bookmarkEnd w:id="102"/>
      <w:bookmarkEnd w:id="103"/>
      <w:bookmarkEnd w:id="104"/>
      <w:bookmarkEnd w:id="105"/>
    </w:p>
    <w:p>
      <w:pPr>
        <w:pStyle w:val="110"/>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 xml:space="preserve">任取6至10个同一批次固体剂量计，辐照相同剂量（如：1 Gy、2 Gy或10 Gy等），计算该批次固体剂量计读出值的相对标准偏差应小于1.5%。 </w:t>
      </w:r>
    </w:p>
    <w:p>
      <w:pPr>
        <w:pStyle w:val="110"/>
        <w:keepNext w:val="0"/>
        <w:keepLines w:val="0"/>
        <w:pageBreakBefore w:val="0"/>
        <w:widowControl/>
        <w:kinsoku/>
        <w:wordWrap/>
        <w:overflowPunct/>
        <w:topLinePunct w:val="0"/>
        <w:autoSpaceDE/>
        <w:autoSpaceDN/>
        <w:bidi w:val="0"/>
        <w:adjustRightInd/>
        <w:snapToGrid/>
        <w:spacing w:line="360" w:lineRule="auto"/>
        <w:ind w:left="0" w:firstLine="360" w:firstLineChars="200"/>
        <w:textAlignment w:val="auto"/>
        <w:rPr>
          <w:rFonts w:hint="default" w:ascii="Times New Roman" w:hAnsi="Times New Roman" w:cs="Times New Roman"/>
          <w:color w:val="auto"/>
          <w:sz w:val="24"/>
          <w:lang w:val="en-US" w:eastAsia="zh-CN"/>
        </w:rPr>
      </w:pPr>
      <w:r>
        <w:rPr>
          <w:rFonts w:hint="default" w:ascii="Times New Roman" w:hAnsi="Times New Roman" w:eastAsia="黑体" w:cs="Times New Roman"/>
          <w:color w:val="auto"/>
          <w:kern w:val="0"/>
          <w:sz w:val="18"/>
          <w:szCs w:val="18"/>
          <w:lang w:val="en-US" w:eastAsia="zh-CN" w:bidi="ar-SA"/>
        </w:rPr>
        <w:t>注：</w:t>
      </w:r>
      <w:r>
        <w:rPr>
          <w:rFonts w:hint="default" w:ascii="Times New Roman" w:hAnsi="Times New Roman" w:cs="Times New Roman"/>
          <w:color w:val="auto"/>
          <w:kern w:val="0"/>
          <w:sz w:val="18"/>
          <w:szCs w:val="18"/>
          <w:lang w:val="en-US" w:eastAsia="zh-CN" w:bidi="ar-SA"/>
        </w:rPr>
        <w:t>一般丙氨酸剂量计采用10 Gy</w:t>
      </w:r>
      <w:r>
        <w:rPr>
          <w:rFonts w:hint="eastAsia" w:ascii="Times New Roman" w:hAnsi="Times New Roman" w:cs="Times New Roman"/>
          <w:color w:val="auto"/>
          <w:kern w:val="0"/>
          <w:sz w:val="18"/>
          <w:szCs w:val="18"/>
          <w:lang w:val="en-US" w:eastAsia="zh-CN" w:bidi="ar-SA"/>
        </w:rPr>
        <w:t>，热释光剂量计</w:t>
      </w:r>
      <w:r>
        <w:rPr>
          <w:rFonts w:hint="default" w:ascii="Times New Roman" w:hAnsi="Times New Roman" w:cs="Times New Roman"/>
          <w:color w:val="auto"/>
          <w:kern w:val="0"/>
          <w:sz w:val="18"/>
          <w:szCs w:val="18"/>
          <w:lang w:val="en-US" w:eastAsia="zh-CN" w:bidi="ar-SA"/>
        </w:rPr>
        <w:t>校准采用</w:t>
      </w:r>
      <w:r>
        <w:rPr>
          <w:rFonts w:hint="default" w:ascii="Times New Roman" w:hAnsi="Times New Roman" w:eastAsia="宋体" w:cs="Times New Roman"/>
          <w:color w:val="auto"/>
          <w:kern w:val="0"/>
          <w:sz w:val="18"/>
          <w:szCs w:val="18"/>
          <w:lang w:val="en-US" w:eastAsia="zh-CN" w:bidi="ar-SA"/>
        </w:rPr>
        <w:t>2</w:t>
      </w:r>
      <w:r>
        <w:rPr>
          <w:rFonts w:hint="default" w:ascii="Times New Roman" w:hAnsi="Times New Roman" w:cs="Times New Roman"/>
          <w:color w:val="auto"/>
          <w:kern w:val="0"/>
          <w:sz w:val="18"/>
          <w:szCs w:val="18"/>
          <w:lang w:val="en-US" w:eastAsia="zh-CN" w:bidi="ar-SA"/>
        </w:rPr>
        <w:t xml:space="preserve"> </w:t>
      </w:r>
      <w:r>
        <w:rPr>
          <w:rFonts w:hint="default" w:ascii="Times New Roman" w:hAnsi="Times New Roman" w:eastAsia="宋体" w:cs="Times New Roman"/>
          <w:color w:val="auto"/>
          <w:kern w:val="0"/>
          <w:sz w:val="18"/>
          <w:szCs w:val="18"/>
          <w:lang w:val="en-US" w:eastAsia="zh-CN" w:bidi="ar-SA"/>
        </w:rPr>
        <w:t>Gy，</w:t>
      </w:r>
      <w:r>
        <w:rPr>
          <w:rFonts w:hint="eastAsia" w:ascii="Times New Roman" w:hAnsi="Times New Roman" w:cs="Times New Roman"/>
          <w:color w:val="auto"/>
          <w:kern w:val="0"/>
          <w:sz w:val="18"/>
          <w:szCs w:val="18"/>
          <w:lang w:val="en-US" w:eastAsia="zh-CN" w:bidi="ar-SA"/>
        </w:rPr>
        <w:t>光释光剂量计</w:t>
      </w:r>
      <w:r>
        <w:rPr>
          <w:rFonts w:hint="default" w:ascii="Times New Roman" w:hAnsi="Times New Roman" w:cs="Times New Roman"/>
          <w:color w:val="auto"/>
          <w:kern w:val="0"/>
          <w:sz w:val="18"/>
          <w:szCs w:val="18"/>
          <w:lang w:val="en-US" w:eastAsia="zh-CN" w:bidi="ar-SA"/>
        </w:rPr>
        <w:t>校准采用</w:t>
      </w:r>
      <w:r>
        <w:rPr>
          <w:rFonts w:hint="default" w:ascii="Times New Roman" w:hAnsi="Times New Roman" w:eastAsia="宋体" w:cs="Times New Roman"/>
          <w:color w:val="auto"/>
          <w:kern w:val="0"/>
          <w:sz w:val="18"/>
          <w:szCs w:val="18"/>
          <w:lang w:val="en-US" w:eastAsia="zh-CN" w:bidi="ar-SA"/>
        </w:rPr>
        <w:t>1</w:t>
      </w:r>
      <w:r>
        <w:rPr>
          <w:rFonts w:hint="default" w:ascii="Times New Roman" w:hAnsi="Times New Roman" w:cs="Times New Roman"/>
          <w:color w:val="auto"/>
          <w:kern w:val="0"/>
          <w:sz w:val="18"/>
          <w:szCs w:val="18"/>
          <w:lang w:val="en-US" w:eastAsia="zh-CN" w:bidi="ar-SA"/>
        </w:rPr>
        <w:t xml:space="preserve"> </w:t>
      </w:r>
      <w:r>
        <w:rPr>
          <w:rFonts w:hint="default" w:ascii="Times New Roman" w:hAnsi="Times New Roman" w:eastAsia="宋体" w:cs="Times New Roman"/>
          <w:color w:val="auto"/>
          <w:kern w:val="0"/>
          <w:sz w:val="18"/>
          <w:szCs w:val="18"/>
          <w:lang w:val="en-US" w:eastAsia="zh-CN" w:bidi="ar-SA"/>
        </w:rPr>
        <w:t>Gy</w:t>
      </w:r>
      <w:r>
        <w:rPr>
          <w:rFonts w:hint="eastAsia" w:ascii="Times New Roman" w:hAnsi="Times New Roman" w:cs="Times New Roman"/>
          <w:color w:val="auto"/>
          <w:kern w:val="0"/>
          <w:sz w:val="18"/>
          <w:szCs w:val="18"/>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06" w:name="_Toc3089"/>
      <w:bookmarkStart w:id="107" w:name="_Toc1410"/>
      <w:bookmarkStart w:id="108" w:name="_Toc1779"/>
      <w:bookmarkStart w:id="109" w:name="_Toc6857"/>
      <w:r>
        <w:rPr>
          <w:rFonts w:hint="default" w:ascii="Times New Roman" w:hAnsi="Times New Roman" w:cs="Times New Roman"/>
          <w:color w:val="auto"/>
          <w:lang w:val="en-US" w:eastAsia="zh-CN"/>
        </w:rPr>
        <w:t>5.2.2 重复性</w:t>
      </w:r>
      <w:bookmarkEnd w:id="106"/>
      <w:bookmarkEnd w:id="107"/>
      <w:bookmarkEnd w:id="108"/>
      <w:bookmarkEnd w:id="109"/>
    </w:p>
    <w:p>
      <w:pPr>
        <w:pStyle w:val="110"/>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对于可重复使用的固体剂量计，任取10个同一批次固体剂量计，重复辐照10次，每次辐照相同剂量，对于任一次计算10个固体剂量计测量值的相对标准偏差及计算每个固体剂量计10次测量值的相对标准偏差，应小于1.0%。</w:t>
      </w:r>
    </w:p>
    <w:p>
      <w:pPr>
        <w:pStyle w:val="110"/>
        <w:keepNext w:val="0"/>
        <w:keepLines w:val="0"/>
        <w:pageBreakBefore w:val="0"/>
        <w:widowControl/>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lang w:val="en-US" w:eastAsia="zh-CN"/>
        </w:rPr>
      </w:pPr>
      <w:r>
        <w:rPr>
          <w:rFonts w:hint="default" w:ascii="Times New Roman" w:hAnsi="Times New Roman" w:cs="Times New Roman"/>
          <w:color w:val="auto"/>
          <w:sz w:val="24"/>
          <w:lang w:val="en-US" w:eastAsia="zh-CN"/>
        </w:rPr>
        <w:t>对于不可重复使用的固体剂量计，任取10个同一批次固体剂量计，每个剂量计均辐照1次，每片辐照相同剂量，计算10个固体剂量计测量值的相对标准偏差，应小于1.0%。</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10" w:name="_Toc9195"/>
      <w:bookmarkStart w:id="111" w:name="_Toc3072"/>
      <w:bookmarkStart w:id="112" w:name="_Toc10234"/>
      <w:bookmarkStart w:id="113" w:name="_Toc24816"/>
      <w:r>
        <w:rPr>
          <w:rFonts w:hint="default" w:ascii="Times New Roman" w:hAnsi="Times New Roman" w:cs="Times New Roman"/>
          <w:color w:val="auto"/>
          <w:lang w:val="en-US" w:eastAsia="zh-CN"/>
        </w:rPr>
        <w:t>5.2.3 剂量线性</w:t>
      </w:r>
      <w:bookmarkEnd w:id="110"/>
      <w:bookmarkEnd w:id="111"/>
      <w:bookmarkEnd w:id="112"/>
      <w:bookmarkEnd w:id="113"/>
    </w:p>
    <w:p>
      <w:pPr>
        <w:keepNext w:val="0"/>
        <w:keepLines w:val="0"/>
        <w:pageBreakBefore w:val="0"/>
        <w:kinsoku/>
        <w:wordWrap/>
        <w:overflowPunct/>
        <w:topLinePunct w:val="0"/>
        <w:bidi w:val="0"/>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在0.</w:t>
      </w:r>
      <w:r>
        <w:rPr>
          <w:rFonts w:hint="eastAsia" w:cs="Times New Roman"/>
          <w:color w:val="auto"/>
          <w:lang w:val="en-US" w:eastAsia="zh-CN"/>
        </w:rPr>
        <w:t>1</w:t>
      </w:r>
      <w:r>
        <w:rPr>
          <w:rFonts w:hint="default" w:ascii="Times New Roman" w:hAnsi="Times New Roman" w:cs="Times New Roman"/>
          <w:color w:val="auto"/>
          <w:lang w:val="en-US" w:eastAsia="zh-CN"/>
        </w:rPr>
        <w:t>~15 Gy剂量范围内，取不少于6个固体剂量计辐照不同剂量值，在读出器上测读，</w:t>
      </w:r>
      <w:r>
        <w:rPr>
          <w:rFonts w:hint="eastAsia" w:cs="Times New Roman"/>
          <w:color w:val="auto"/>
          <w:lang w:val="en-US" w:eastAsia="zh-CN"/>
        </w:rPr>
        <w:t>对</w:t>
      </w:r>
      <w:r>
        <w:rPr>
          <w:rFonts w:hint="default" w:ascii="Times New Roman" w:hAnsi="Times New Roman" w:cs="Times New Roman"/>
          <w:color w:val="auto"/>
          <w:lang w:val="en-US" w:eastAsia="zh-CN"/>
        </w:rPr>
        <w:t>读数进行线性回归分析，测量读数点与辐照剂量的线性相关系数</w:t>
      </w:r>
      <w:r>
        <w:rPr>
          <w:rFonts w:hint="default" w:ascii="Times New Roman" w:hAnsi="Times New Roman" w:cs="Times New Roman"/>
          <w:i/>
          <w:iCs/>
          <w:color w:val="auto"/>
          <w:lang w:val="en-US" w:eastAsia="zh-CN"/>
        </w:rPr>
        <w:t>R</w:t>
      </w:r>
      <w:r>
        <w:rPr>
          <w:rFonts w:hint="default" w:ascii="Times New Roman" w:hAnsi="Times New Roman" w:cs="Times New Roman"/>
          <w:color w:val="auto"/>
          <w:vertAlign w:val="superscript"/>
          <w:lang w:val="en-US" w:eastAsia="zh-CN"/>
        </w:rPr>
        <w:t>2</w:t>
      </w:r>
      <w:r>
        <w:rPr>
          <w:rFonts w:hint="default" w:ascii="Times New Roman" w:hAnsi="Times New Roman" w:cs="Times New Roman"/>
          <w:color w:val="auto"/>
          <w:lang w:val="en-US" w:eastAsia="zh-CN"/>
        </w:rPr>
        <w:t>必须大于0.9998。</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14" w:name="_Toc1860"/>
      <w:bookmarkStart w:id="115" w:name="_Toc18808"/>
      <w:bookmarkStart w:id="116" w:name="_Toc11772"/>
      <w:bookmarkStart w:id="117" w:name="_Toc15503"/>
      <w:r>
        <w:rPr>
          <w:rFonts w:hint="default" w:ascii="Times New Roman" w:hAnsi="Times New Roman" w:cs="Times New Roman"/>
          <w:color w:val="auto"/>
          <w:lang w:val="en-US" w:eastAsia="zh-CN"/>
        </w:rPr>
        <w:t xml:space="preserve">5.2.4 </w:t>
      </w:r>
      <w:bookmarkEnd w:id="114"/>
      <w:r>
        <w:rPr>
          <w:rFonts w:hint="default" w:ascii="Times New Roman" w:hAnsi="Times New Roman" w:cs="Times New Roman"/>
          <w:color w:val="auto"/>
          <w:lang w:val="en-US" w:eastAsia="zh-CN"/>
        </w:rPr>
        <w:t>剂量衰减</w:t>
      </w:r>
      <w:bookmarkEnd w:id="115"/>
      <w:bookmarkEnd w:id="116"/>
      <w:bookmarkEnd w:id="117"/>
    </w:p>
    <w:p>
      <w:pPr>
        <w:keepNext w:val="0"/>
        <w:keepLines w:val="0"/>
        <w:pageBreakBefore w:val="0"/>
        <w:kinsoku/>
        <w:wordWrap/>
        <w:overflowPunct/>
        <w:topLinePunct w:val="0"/>
        <w:bidi w:val="0"/>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固体剂量计在室温下、干燥环境中避光保存，其月衰退小于0.1%, 一般可忽略，必要时进行衰退修正。</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18" w:name="_Toc1644"/>
      <w:bookmarkStart w:id="119" w:name="_Toc21862"/>
      <w:bookmarkStart w:id="120" w:name="_Toc17560"/>
      <w:bookmarkStart w:id="121" w:name="_Toc15228"/>
      <w:r>
        <w:rPr>
          <w:rFonts w:hint="default" w:ascii="Times New Roman" w:hAnsi="Times New Roman" w:cs="Times New Roman"/>
          <w:color w:val="auto"/>
          <w:lang w:val="en-US" w:eastAsia="zh-CN"/>
        </w:rPr>
        <w:t>5.2.5 光效应</w:t>
      </w:r>
      <w:bookmarkEnd w:id="118"/>
      <w:bookmarkEnd w:id="119"/>
      <w:bookmarkEnd w:id="120"/>
      <w:bookmarkEnd w:id="121"/>
    </w:p>
    <w:p>
      <w:pPr>
        <w:keepNext w:val="0"/>
        <w:keepLines w:val="0"/>
        <w:pageBreakBefore w:val="0"/>
        <w:kinsoku/>
        <w:wordWrap/>
        <w:overflowPunct/>
        <w:topLinePunct w:val="0"/>
        <w:bidi w:val="0"/>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固体剂量计在室内自然光或在40W</w:t>
      </w:r>
      <w:r>
        <w:rPr>
          <w:rFonts w:hint="eastAsia" w:cs="Times New Roman"/>
          <w:color w:val="auto"/>
          <w:lang w:val="en-US" w:eastAsia="zh-CN"/>
        </w:rPr>
        <w:t xml:space="preserve"> </w:t>
      </w:r>
      <w:r>
        <w:rPr>
          <w:rFonts w:hint="default" w:ascii="Times New Roman" w:hAnsi="Times New Roman" w:cs="Times New Roman"/>
          <w:color w:val="auto"/>
          <w:lang w:val="en-US" w:eastAsia="zh-CN"/>
        </w:rPr>
        <w:t>m</w:t>
      </w:r>
      <w:r>
        <w:rPr>
          <w:rFonts w:hint="default" w:ascii="Times New Roman" w:hAnsi="Times New Roman" w:cs="Times New Roman"/>
          <w:color w:val="auto"/>
          <w:vertAlign w:val="superscript"/>
          <w:lang w:val="en-US" w:eastAsia="zh-CN"/>
        </w:rPr>
        <w:t>-2</w:t>
      </w:r>
      <w:r>
        <w:rPr>
          <w:rFonts w:hint="default" w:ascii="Times New Roman" w:hAnsi="Times New Roman" w:cs="Times New Roman"/>
          <w:color w:val="auto"/>
          <w:lang w:val="en-US" w:eastAsia="zh-CN"/>
        </w:rPr>
        <w:t>日光灯下存放24 h，光效应影响可忽略，必要时可进行修正。</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22" w:name="_Toc17409"/>
      <w:bookmarkStart w:id="123" w:name="_Toc5320"/>
      <w:r>
        <w:rPr>
          <w:rFonts w:hint="default" w:ascii="Times New Roman" w:hAnsi="Times New Roman" w:cs="Times New Roman"/>
          <w:color w:val="auto"/>
          <w:lang w:val="en-US" w:eastAsia="zh-CN"/>
        </w:rPr>
        <w:t>5.2.6 能量响应</w:t>
      </w:r>
      <w:bookmarkEnd w:id="122"/>
      <w:bookmarkEnd w:id="12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sz w:val="24"/>
          <w:szCs w:val="20"/>
        </w:rPr>
      </w:pPr>
      <w:r>
        <w:rPr>
          <w:rFonts w:hint="default" w:ascii="Times New Roman" w:hAnsi="Times New Roman" w:cs="Times New Roman"/>
          <w:color w:val="auto"/>
          <w:sz w:val="24"/>
          <w:szCs w:val="20"/>
          <w:lang w:val="en-US" w:eastAsia="zh-CN"/>
        </w:rPr>
        <w:t>固体剂量计</w:t>
      </w:r>
      <w:r>
        <w:rPr>
          <w:rFonts w:hint="default" w:ascii="Times New Roman" w:hAnsi="Times New Roman" w:cs="Times New Roman"/>
          <w:color w:val="auto"/>
          <w:sz w:val="24"/>
          <w:szCs w:val="20"/>
        </w:rPr>
        <w:t>能量响以</w:t>
      </w:r>
      <w:r>
        <w:rPr>
          <w:rFonts w:hint="eastAsia" w:cs="Times New Roman"/>
          <w:color w:val="auto"/>
          <w:sz w:val="24"/>
          <w:szCs w:val="20"/>
          <w:vertAlign w:val="superscript"/>
          <w:lang w:val="en-US" w:eastAsia="zh-CN"/>
        </w:rPr>
        <w:t>60</w:t>
      </w:r>
      <w:r>
        <w:rPr>
          <w:rFonts w:hint="default" w:ascii="Times New Roman" w:hAnsi="Times New Roman" w:cs="Times New Roman"/>
          <w:color w:val="auto"/>
          <w:sz w:val="24"/>
          <w:szCs w:val="20"/>
          <w:lang w:val="en-US" w:eastAsia="zh-CN"/>
        </w:rPr>
        <w:t>Co</w:t>
      </w:r>
      <w:r>
        <w:rPr>
          <w:rFonts w:hint="eastAsia" w:cs="Times New Roman"/>
          <w:color w:val="auto"/>
          <w:sz w:val="24"/>
          <w:szCs w:val="20"/>
          <w:lang w:val="en-US" w:eastAsia="zh-CN"/>
        </w:rPr>
        <w:t xml:space="preserve"> </w:t>
      </w:r>
      <w:r>
        <w:rPr>
          <w:rFonts w:hint="default" w:ascii="Times New Roman" w:hAnsi="Times New Roman" w:cs="Times New Roman"/>
          <w:color w:val="auto"/>
          <w:sz w:val="24"/>
          <w:szCs w:val="20"/>
          <w:lang w:val="en-US" w:eastAsia="zh-CN"/>
        </w:rPr>
        <w:t>γ</w:t>
      </w:r>
      <w:r>
        <w:rPr>
          <w:rFonts w:hint="eastAsia" w:cs="Times New Roman"/>
          <w:color w:val="auto"/>
          <w:sz w:val="24"/>
          <w:szCs w:val="20"/>
          <w:lang w:val="en-US" w:eastAsia="zh-CN"/>
        </w:rPr>
        <w:t xml:space="preserve"> </w:t>
      </w:r>
      <w:r>
        <w:rPr>
          <w:rFonts w:hint="default" w:ascii="Times New Roman" w:hAnsi="Times New Roman" w:cs="Times New Roman"/>
          <w:color w:val="auto"/>
          <w:sz w:val="24"/>
          <w:szCs w:val="20"/>
          <w:lang w:val="en-US" w:eastAsia="zh-CN"/>
        </w:rPr>
        <w:t>射线作为</w:t>
      </w:r>
      <w:r>
        <w:rPr>
          <w:rFonts w:hint="default" w:ascii="Times New Roman" w:hAnsi="Times New Roman" w:cs="Times New Roman"/>
          <w:color w:val="auto"/>
          <w:sz w:val="24"/>
          <w:szCs w:val="20"/>
        </w:rPr>
        <w:t>参考辐射质，在</w:t>
      </w:r>
      <w:r>
        <w:rPr>
          <w:rFonts w:hint="default" w:ascii="Times New Roman" w:hAnsi="Times New Roman" w:cs="Times New Roman"/>
          <w:color w:val="auto"/>
          <w:sz w:val="24"/>
          <w:szCs w:val="20"/>
          <w:lang w:val="en-US" w:eastAsia="zh-CN"/>
        </w:rPr>
        <w:t>放射治疗束射线质</w:t>
      </w:r>
      <w:r>
        <w:rPr>
          <w:rFonts w:hint="default" w:ascii="Times New Roman" w:hAnsi="Times New Roman" w:cs="Times New Roman"/>
          <w:color w:val="auto"/>
          <w:sz w:val="24"/>
          <w:szCs w:val="20"/>
        </w:rPr>
        <w:t>范围内至少选取三个能量点，且包含最低能量点和最大能量点，</w:t>
      </w:r>
      <w:r>
        <w:rPr>
          <w:rFonts w:hint="default" w:ascii="Times New Roman" w:hAnsi="Times New Roman" w:cs="Times New Roman"/>
          <w:color w:val="auto"/>
          <w:kern w:val="0"/>
          <w:sz w:val="24"/>
        </w:rPr>
        <w:t>由</w:t>
      </w:r>
      <w:r>
        <w:rPr>
          <w:rFonts w:hint="default" w:ascii="Times New Roman" w:hAnsi="Times New Roman" w:cs="Times New Roman"/>
          <w:color w:val="auto"/>
          <w:sz w:val="24"/>
        </w:rPr>
        <w:t>公式（</w:t>
      </w:r>
      <w:r>
        <w:rPr>
          <w:rFonts w:hint="default" w:ascii="Times New Roman" w:hAnsi="Times New Roman" w:cs="Times New Roman"/>
          <w:color w:val="auto"/>
          <w:sz w:val="24"/>
          <w:lang w:val="en-US" w:eastAsia="zh-CN"/>
        </w:rPr>
        <w:t>1</w:t>
      </w:r>
      <w:r>
        <w:rPr>
          <w:rFonts w:hint="default" w:ascii="Times New Roman" w:hAnsi="Times New Roman" w:cs="Times New Roman"/>
          <w:color w:val="auto"/>
          <w:sz w:val="24"/>
        </w:rPr>
        <w:t>）</w:t>
      </w:r>
      <w:r>
        <w:rPr>
          <w:rFonts w:hint="default" w:ascii="Times New Roman" w:hAnsi="Times New Roman" w:cs="Times New Roman"/>
          <w:color w:val="auto"/>
          <w:kern w:val="0"/>
          <w:sz w:val="24"/>
        </w:rPr>
        <w:t>计算每个辐射质的</w:t>
      </w:r>
      <w:r>
        <w:rPr>
          <w:rFonts w:hint="default" w:ascii="Times New Roman" w:hAnsi="Times New Roman" w:cs="Times New Roman"/>
          <w:color w:val="auto"/>
          <w:sz w:val="24"/>
          <w:szCs w:val="20"/>
        </w:rPr>
        <w:t>响应</w:t>
      </w:r>
      <w:r>
        <w:rPr>
          <w:rFonts w:hint="default" w:ascii="Times New Roman" w:hAnsi="Times New Roman" w:cs="Times New Roman"/>
          <w:i/>
          <w:color w:val="auto"/>
          <w:sz w:val="24"/>
          <w:szCs w:val="20"/>
        </w:rPr>
        <w:t>E</w:t>
      </w:r>
      <w:r>
        <w:rPr>
          <w:rFonts w:hint="default" w:ascii="Times New Roman" w:hAnsi="Times New Roman" w:cs="Times New Roman"/>
          <w:i/>
          <w:color w:val="auto"/>
          <w:sz w:val="24"/>
          <w:szCs w:val="20"/>
          <w:vertAlign w:val="subscript"/>
          <w:lang w:val="en-US" w:eastAsia="zh-CN"/>
        </w:rPr>
        <w:t>Q</w:t>
      </w:r>
      <w:r>
        <w:rPr>
          <w:rFonts w:hint="default" w:ascii="Times New Roman" w:hAnsi="Times New Roman" w:cs="Times New Roman"/>
          <w:color w:val="auto"/>
          <w:sz w:val="24"/>
          <w:szCs w:val="20"/>
        </w:rPr>
        <w:t>，用其中最大偏离值表示</w:t>
      </w:r>
      <w:r>
        <w:rPr>
          <w:rFonts w:hint="default" w:ascii="Times New Roman" w:hAnsi="Times New Roman" w:cs="Times New Roman"/>
          <w:color w:val="auto"/>
          <w:sz w:val="24"/>
        </w:rPr>
        <w:t>探测器</w:t>
      </w:r>
      <w:r>
        <w:rPr>
          <w:rFonts w:hint="default" w:ascii="Times New Roman" w:hAnsi="Times New Roman" w:cs="Times New Roman"/>
          <w:color w:val="auto"/>
          <w:sz w:val="24"/>
          <w:szCs w:val="20"/>
        </w:rPr>
        <w:t>的能量响应</w:t>
      </w:r>
      <w:r>
        <w:rPr>
          <w:rFonts w:hint="default" w:ascii="Times New Roman" w:hAnsi="Times New Roman" w:cs="Times New Roman"/>
          <w:i/>
          <w:color w:val="auto"/>
          <w:sz w:val="24"/>
          <w:szCs w:val="20"/>
        </w:rPr>
        <w:t>E</w:t>
      </w:r>
      <w:r>
        <w:rPr>
          <w:rFonts w:hint="default" w:ascii="Times New Roman" w:hAnsi="Times New Roman" w:cs="Times New Roman"/>
          <w:color w:val="auto"/>
          <w:sz w:val="24"/>
          <w:szCs w:val="20"/>
        </w:rPr>
        <w:t>。</w:t>
      </w:r>
    </w:p>
    <w:tbl>
      <w:tblPr>
        <w:tblStyle w:val="8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8"/>
        <w:gridCol w:w="3238"/>
        <w:gridCol w:w="32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38" w:type="dxa"/>
            <w:vAlign w:val="top"/>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w:p>
        </w:tc>
        <w:tc>
          <w:tcPr>
            <w:tcW w:w="3238" w:type="dxa"/>
            <w:vAlign w:val="top"/>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m:oMathPara>
              <m:oMath>
                <m:sSub>
                  <m:sSubPr>
                    <m:ctrlPr>
                      <w:rPr>
                        <w:rFonts w:hint="default" w:ascii="Cambria Math" w:hAnsi="Cambria Math" w:cs="Times New Roman"/>
                        <w:i/>
                        <w:color w:val="auto"/>
                        <w:sz w:val="24"/>
                        <w:szCs w:val="20"/>
                      </w:rPr>
                    </m:ctrlPr>
                  </m:sSubPr>
                  <m:e>
                    <m:r>
                      <m:rPr/>
                      <w:rPr>
                        <w:rFonts w:hint="default" w:ascii="Cambria Math" w:hAnsi="Cambria Math" w:cs="Times New Roman"/>
                        <w:color w:val="auto"/>
                        <w:sz w:val="24"/>
                        <w:szCs w:val="20"/>
                        <w:lang w:val="en-US" w:eastAsia="zh-CN"/>
                      </w:rPr>
                      <m:t>E</m:t>
                    </m:r>
                    <m:ctrlPr>
                      <w:rPr>
                        <w:rFonts w:hint="default" w:ascii="Cambria Math" w:hAnsi="Cambria Math" w:cs="Times New Roman"/>
                        <w:i/>
                        <w:color w:val="auto"/>
                        <w:sz w:val="24"/>
                        <w:szCs w:val="20"/>
                      </w:rPr>
                    </m:ctrlPr>
                  </m:e>
                  <m:sub>
                    <m:r>
                      <m:rPr/>
                      <w:rPr>
                        <w:rFonts w:hint="default" w:ascii="Cambria Math" w:hAnsi="Cambria Math" w:cs="Times New Roman"/>
                        <w:color w:val="auto"/>
                        <w:sz w:val="24"/>
                        <w:szCs w:val="20"/>
                        <w:lang w:val="en-US" w:eastAsia="zh-CN"/>
                      </w:rPr>
                      <m:t>Q</m:t>
                    </m:r>
                    <m:ctrlPr>
                      <w:rPr>
                        <w:rFonts w:hint="default" w:ascii="Cambria Math" w:hAnsi="Cambria Math" w:cs="Times New Roman"/>
                        <w:i/>
                        <w:color w:val="auto"/>
                        <w:sz w:val="24"/>
                        <w:szCs w:val="20"/>
                      </w:rPr>
                    </m:ctrlPr>
                  </m:sub>
                </m:sSub>
                <m:r>
                  <m:rPr/>
                  <w:rPr>
                    <w:rFonts w:hint="default" w:ascii="Cambria Math" w:hAnsi="Cambria Math" w:cs="Times New Roman"/>
                    <w:color w:val="auto"/>
                    <w:sz w:val="24"/>
                    <w:szCs w:val="20"/>
                    <w:lang w:val="en-US" w:eastAsia="zh-CN"/>
                  </w:rPr>
                  <m:t>=</m:t>
                </m:r>
                <m:f>
                  <m:fPr>
                    <m:ctrlPr>
                      <w:rPr>
                        <w:rFonts w:hint="default" w:ascii="Cambria Math" w:hAnsi="Cambria Math" w:cs="Times New Roman"/>
                        <w:i/>
                        <w:color w:val="auto"/>
                        <w:sz w:val="24"/>
                        <w:szCs w:val="20"/>
                        <w:lang w:val="en-US" w:eastAsia="zh-CN"/>
                      </w:rPr>
                    </m:ctrlPr>
                  </m:fPr>
                  <m:num>
                    <m:sSub>
                      <m:sSubPr>
                        <m:ctrlPr>
                          <w:rPr>
                            <w:rFonts w:hint="default" w:ascii="Cambria Math" w:hAnsi="Cambria Math" w:cs="Times New Roman"/>
                            <w:i/>
                            <w:color w:val="auto"/>
                            <w:sz w:val="24"/>
                            <w:szCs w:val="20"/>
                            <w:lang w:val="en-US" w:eastAsia="zh-CN"/>
                          </w:rPr>
                        </m:ctrlPr>
                      </m:sSubPr>
                      <m:e>
                        <m:r>
                          <m:rPr/>
                          <w:rPr>
                            <w:rFonts w:hint="default" w:ascii="Cambria Math" w:hAnsi="Cambria Math" w:cs="Times New Roman"/>
                            <w:color w:val="auto"/>
                            <w:sz w:val="24"/>
                            <w:szCs w:val="20"/>
                            <w:lang w:val="en-US" w:eastAsia="zh-CN"/>
                          </w:rPr>
                          <m:t>N</m:t>
                        </m:r>
                        <m:ctrlPr>
                          <w:rPr>
                            <w:rFonts w:hint="default" w:ascii="Cambria Math" w:hAnsi="Cambria Math" w:cs="Times New Roman"/>
                            <w:i/>
                            <w:color w:val="auto"/>
                            <w:sz w:val="24"/>
                            <w:szCs w:val="20"/>
                            <w:lang w:val="en-US" w:eastAsia="zh-CN"/>
                          </w:rPr>
                        </m:ctrlPr>
                      </m:e>
                      <m:sub>
                        <m:r>
                          <m:rPr/>
                          <w:rPr>
                            <w:rFonts w:hint="default" w:ascii="Cambria Math" w:hAnsi="Cambria Math" w:cs="Times New Roman"/>
                            <w:color w:val="auto"/>
                            <w:sz w:val="24"/>
                            <w:szCs w:val="20"/>
                            <w:lang w:val="en-US" w:eastAsia="zh-CN"/>
                          </w:rPr>
                          <m:t>D,w</m:t>
                        </m:r>
                        <m:ctrlPr>
                          <w:rPr>
                            <w:rFonts w:hint="default" w:ascii="Cambria Math" w:hAnsi="Cambria Math" w:cs="Times New Roman"/>
                            <w:i/>
                            <w:color w:val="auto"/>
                            <w:sz w:val="24"/>
                            <w:szCs w:val="20"/>
                            <w:lang w:val="en-US" w:eastAsia="zh-CN"/>
                          </w:rPr>
                        </m:ctrlPr>
                      </m:sub>
                    </m:sSub>
                    <m:r>
                      <m:rPr/>
                      <w:rPr>
                        <w:rFonts w:hint="default" w:ascii="Cambria Math" w:hAnsi="Cambria Math" w:cs="Times New Roman"/>
                        <w:color w:val="auto"/>
                        <w:sz w:val="24"/>
                        <w:szCs w:val="20"/>
                        <w:lang w:val="en-US" w:eastAsia="zh-CN"/>
                      </w:rPr>
                      <m:t>−</m:t>
                    </m:r>
                    <m:sSub>
                      <m:sSubPr>
                        <m:ctrlPr>
                          <w:rPr>
                            <w:rFonts w:hint="default" w:ascii="Cambria Math" w:hAnsi="Cambria Math" w:cs="Times New Roman"/>
                            <w:i/>
                            <w:color w:val="auto"/>
                            <w:sz w:val="24"/>
                            <w:szCs w:val="20"/>
                            <w:lang w:val="en-US" w:eastAsia="zh-CN"/>
                          </w:rPr>
                        </m:ctrlPr>
                      </m:sSubPr>
                      <m:e>
                        <m:r>
                          <m:rPr/>
                          <w:rPr>
                            <w:rFonts w:hint="default" w:ascii="Cambria Math" w:hAnsi="Cambria Math" w:cs="Times New Roman"/>
                            <w:color w:val="auto"/>
                            <w:sz w:val="24"/>
                            <w:szCs w:val="20"/>
                            <w:lang w:val="en-US" w:eastAsia="zh-CN"/>
                          </w:rPr>
                          <m:t>N</m:t>
                        </m:r>
                        <m:ctrlPr>
                          <w:rPr>
                            <w:rFonts w:hint="default" w:ascii="Cambria Math" w:hAnsi="Cambria Math" w:cs="Times New Roman"/>
                            <w:i/>
                            <w:color w:val="auto"/>
                            <w:sz w:val="24"/>
                            <w:szCs w:val="20"/>
                            <w:lang w:val="en-US" w:eastAsia="zh-CN"/>
                          </w:rPr>
                        </m:ctrlPr>
                      </m:e>
                      <m:sub>
                        <m:r>
                          <m:rPr/>
                          <w:rPr>
                            <w:rFonts w:hint="default" w:ascii="Cambria Math" w:hAnsi="Cambria Math" w:cs="Times New Roman"/>
                            <w:color w:val="auto"/>
                            <w:sz w:val="24"/>
                            <w:szCs w:val="20"/>
                            <w:lang w:val="en-US" w:eastAsia="zh-CN"/>
                          </w:rPr>
                          <m:t>Q</m:t>
                        </m:r>
                        <m:ctrlPr>
                          <w:rPr>
                            <w:rFonts w:hint="default" w:ascii="Cambria Math" w:hAnsi="Cambria Math" w:cs="Times New Roman"/>
                            <w:i/>
                            <w:color w:val="auto"/>
                            <w:sz w:val="24"/>
                            <w:szCs w:val="20"/>
                            <w:lang w:val="en-US" w:eastAsia="zh-CN"/>
                          </w:rPr>
                        </m:ctrlPr>
                      </m:sub>
                    </m:sSub>
                    <m:ctrlPr>
                      <w:rPr>
                        <w:rFonts w:hint="default" w:ascii="Cambria Math" w:hAnsi="Cambria Math" w:cs="Times New Roman"/>
                        <w:i/>
                        <w:color w:val="auto"/>
                        <w:sz w:val="24"/>
                        <w:szCs w:val="20"/>
                        <w:lang w:val="en-US" w:eastAsia="zh-CN"/>
                      </w:rPr>
                    </m:ctrlPr>
                  </m:num>
                  <m:den>
                    <m:sSub>
                      <m:sSubPr>
                        <m:ctrlPr>
                          <w:rPr>
                            <w:rFonts w:hint="default" w:ascii="Cambria Math" w:hAnsi="Cambria Math" w:cs="Times New Roman"/>
                            <w:i/>
                            <w:color w:val="auto"/>
                            <w:sz w:val="24"/>
                            <w:szCs w:val="20"/>
                            <w:lang w:val="en-US" w:eastAsia="zh-CN"/>
                          </w:rPr>
                        </m:ctrlPr>
                      </m:sSubPr>
                      <m:e>
                        <m:r>
                          <m:rPr/>
                          <w:rPr>
                            <w:rFonts w:hint="default" w:ascii="Cambria Math" w:hAnsi="Cambria Math" w:cs="Times New Roman"/>
                            <w:color w:val="auto"/>
                            <w:sz w:val="24"/>
                            <w:szCs w:val="20"/>
                            <w:lang w:val="en-US" w:eastAsia="zh-CN"/>
                          </w:rPr>
                          <m:t>N</m:t>
                        </m:r>
                        <m:ctrlPr>
                          <w:rPr>
                            <w:rFonts w:hint="default" w:ascii="Cambria Math" w:hAnsi="Cambria Math" w:cs="Times New Roman"/>
                            <w:i/>
                            <w:color w:val="auto"/>
                            <w:sz w:val="24"/>
                            <w:szCs w:val="20"/>
                            <w:lang w:val="en-US" w:eastAsia="zh-CN"/>
                          </w:rPr>
                        </m:ctrlPr>
                      </m:e>
                      <m:sub>
                        <m:r>
                          <m:rPr/>
                          <w:rPr>
                            <w:rFonts w:hint="default" w:ascii="Cambria Math" w:hAnsi="Cambria Math" w:cs="Times New Roman"/>
                            <w:color w:val="auto"/>
                            <w:sz w:val="24"/>
                            <w:szCs w:val="20"/>
                            <w:lang w:val="en-US" w:eastAsia="zh-CN"/>
                          </w:rPr>
                          <m:t>Q</m:t>
                        </m:r>
                        <m:ctrlPr>
                          <w:rPr>
                            <w:rFonts w:hint="default" w:ascii="Cambria Math" w:hAnsi="Cambria Math" w:cs="Times New Roman"/>
                            <w:i/>
                            <w:color w:val="auto"/>
                            <w:sz w:val="24"/>
                            <w:szCs w:val="20"/>
                            <w:lang w:val="en-US" w:eastAsia="zh-CN"/>
                          </w:rPr>
                        </m:ctrlPr>
                      </m:sub>
                    </m:sSub>
                    <m:ctrlPr>
                      <w:rPr>
                        <w:rFonts w:hint="default" w:ascii="Cambria Math" w:hAnsi="Cambria Math" w:cs="Times New Roman"/>
                        <w:i/>
                        <w:color w:val="auto"/>
                        <w:sz w:val="24"/>
                        <w:szCs w:val="20"/>
                        <w:lang w:val="en-US" w:eastAsia="zh-CN"/>
                      </w:rPr>
                    </m:ctrlPr>
                  </m:den>
                </m:f>
              </m:oMath>
            </m:oMathPara>
          </w:p>
        </w:tc>
        <w:tc>
          <w:tcPr>
            <w:tcW w:w="3238" w:type="dxa"/>
            <w:vAlign w:val="top"/>
          </w:tcPr>
          <w:p>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rPr>
                <w:rFonts w:hint="default" w:ascii="Times New Roman" w:hAnsi="Times New Roman" w:cs="Times New Roman"/>
                <w:i w:val="0"/>
                <w:color w:val="auto"/>
                <w:kern w:val="28"/>
                <w:sz w:val="24"/>
                <w:szCs w:val="24"/>
                <w:vertAlign w:val="baseline"/>
                <w:lang w:val="en-US" w:eastAsia="zh-CN" w:bidi="ar-SA"/>
              </w:rPr>
            </w:pPr>
            <w:r>
              <w:rPr>
                <w:rFonts w:hint="default" w:ascii="Times New Roman" w:hAnsi="Times New Roman" w:cs="Times New Roman"/>
                <w:i w:val="0"/>
                <w:color w:val="auto"/>
                <w:kern w:val="28"/>
                <w:sz w:val="24"/>
                <w:szCs w:val="24"/>
                <w:vertAlign w:val="baseline"/>
                <w:lang w:val="en-US" w:eastAsia="zh-CN" w:bidi="ar-SA"/>
              </w:rPr>
              <w:t>（1）</w:t>
            </w:r>
          </w:p>
        </w:tc>
      </w:tr>
    </w:tbl>
    <w:p>
      <w:pPr>
        <w:autoSpaceDE w:val="0"/>
        <w:autoSpaceDN w:val="0"/>
        <w:adjustRightInd w:val="0"/>
        <w:spacing w:line="360" w:lineRule="auto"/>
        <w:jc w:val="left"/>
        <w:rPr>
          <w:rFonts w:hint="default" w:ascii="Times New Roman" w:hAnsi="Times New Roman" w:cs="Times New Roman"/>
          <w:color w:val="auto"/>
          <w:sz w:val="24"/>
          <w:szCs w:val="20"/>
        </w:rPr>
      </w:pPr>
      <w:r>
        <w:rPr>
          <w:rFonts w:hint="default" w:ascii="Times New Roman" w:hAnsi="Times New Roman" w:cs="Times New Roman"/>
          <w:color w:val="auto"/>
          <w:sz w:val="24"/>
          <w:szCs w:val="20"/>
        </w:rPr>
        <w:t>式中：</w:t>
      </w:r>
    </w:p>
    <w:p>
      <w:pPr>
        <w:autoSpaceDE w:val="0"/>
        <w:autoSpaceDN w:val="0"/>
        <w:adjustRightInd w:val="0"/>
        <w:snapToGrid w:val="0"/>
        <w:spacing w:line="360" w:lineRule="auto"/>
        <w:ind w:firstLine="480" w:firstLineChars="200"/>
        <w:jc w:val="left"/>
        <w:rPr>
          <w:rFonts w:hint="default" w:ascii="Times New Roman" w:hAnsi="Times New Roman" w:cs="Times New Roman"/>
          <w:color w:val="auto"/>
          <w:sz w:val="24"/>
          <w:szCs w:val="20"/>
        </w:rPr>
      </w:pPr>
      <m:oMath>
        <m:sSub>
          <m:sSubPr>
            <m:ctrlPr>
              <w:rPr>
                <w:rFonts w:hint="default" w:ascii="Cambria Math" w:hAnsi="Cambria Math" w:cs="Times New Roman"/>
                <w:i/>
                <w:color w:val="auto"/>
                <w:sz w:val="24"/>
                <w:szCs w:val="20"/>
                <w:lang w:val="en-US" w:eastAsia="zh-CN"/>
              </w:rPr>
            </m:ctrlPr>
          </m:sSubPr>
          <m:e>
            <m:r>
              <m:rPr/>
              <w:rPr>
                <w:rFonts w:hint="default" w:ascii="Cambria Math" w:hAnsi="Cambria Math" w:cs="Times New Roman"/>
                <w:color w:val="auto"/>
                <w:sz w:val="24"/>
                <w:szCs w:val="20"/>
                <w:lang w:val="en-US" w:eastAsia="zh-CN"/>
              </w:rPr>
              <m:t>N</m:t>
            </m:r>
            <m:ctrlPr>
              <w:rPr>
                <w:rFonts w:hint="default" w:ascii="Cambria Math" w:hAnsi="Cambria Math" w:cs="Times New Roman"/>
                <w:i/>
                <w:color w:val="auto"/>
                <w:sz w:val="24"/>
                <w:szCs w:val="20"/>
                <w:lang w:val="en-US" w:eastAsia="zh-CN"/>
              </w:rPr>
            </m:ctrlPr>
          </m:e>
          <m:sub>
            <m:r>
              <m:rPr/>
              <w:rPr>
                <w:rFonts w:hint="default" w:ascii="Cambria Math" w:hAnsi="Cambria Math" w:cs="Times New Roman"/>
                <w:color w:val="auto"/>
                <w:sz w:val="24"/>
                <w:szCs w:val="20"/>
                <w:lang w:val="en-US" w:eastAsia="zh-CN"/>
              </w:rPr>
              <m:t>D,w</m:t>
            </m:r>
            <m:ctrlPr>
              <w:rPr>
                <w:rFonts w:hint="default" w:ascii="Cambria Math" w:hAnsi="Cambria Math" w:cs="Times New Roman"/>
                <w:i/>
                <w:color w:val="auto"/>
                <w:sz w:val="24"/>
                <w:szCs w:val="20"/>
                <w:lang w:val="en-US" w:eastAsia="zh-CN"/>
              </w:rPr>
            </m:ctrlPr>
          </m:sub>
        </m:sSub>
      </m:oMath>
      <w:r>
        <w:rPr>
          <w:rFonts w:hint="default" w:ascii="Times New Roman" w:hAnsi="Times New Roman" w:cs="Times New Roman"/>
          <w:color w:val="auto"/>
          <w:sz w:val="24"/>
          <w:szCs w:val="20"/>
        </w:rPr>
        <w:t>——参考辐射质</w:t>
      </w:r>
      <w:r>
        <w:rPr>
          <w:rFonts w:hint="eastAsia" w:cs="Times New Roman"/>
          <w:color w:val="auto"/>
          <w:sz w:val="24"/>
          <w:szCs w:val="20"/>
          <w:vertAlign w:val="superscript"/>
          <w:lang w:val="en-US" w:eastAsia="zh-CN"/>
        </w:rPr>
        <w:t>60</w:t>
      </w:r>
      <w:r>
        <w:rPr>
          <w:rFonts w:hint="default" w:ascii="Times New Roman" w:hAnsi="Times New Roman" w:cs="Times New Roman"/>
          <w:color w:val="auto"/>
          <w:sz w:val="24"/>
          <w:szCs w:val="20"/>
          <w:lang w:val="en-US" w:eastAsia="zh-CN"/>
        </w:rPr>
        <w:t>Co</w:t>
      </w:r>
      <w:r>
        <w:rPr>
          <w:rFonts w:hint="eastAsia" w:cs="Times New Roman"/>
          <w:color w:val="auto"/>
          <w:sz w:val="24"/>
          <w:szCs w:val="20"/>
          <w:lang w:val="en-US" w:eastAsia="zh-CN"/>
        </w:rPr>
        <w:t xml:space="preserve"> </w:t>
      </w:r>
      <w:r>
        <w:rPr>
          <w:rFonts w:hint="default" w:ascii="Times New Roman" w:hAnsi="Times New Roman" w:cs="Times New Roman"/>
          <w:color w:val="auto"/>
          <w:sz w:val="24"/>
          <w:szCs w:val="20"/>
          <w:lang w:val="en-US" w:eastAsia="zh-CN"/>
        </w:rPr>
        <w:t>γ</w:t>
      </w:r>
      <w:r>
        <w:rPr>
          <w:rFonts w:hint="eastAsia" w:cs="Times New Roman"/>
          <w:color w:val="auto"/>
          <w:sz w:val="24"/>
          <w:szCs w:val="20"/>
          <w:lang w:val="en-US" w:eastAsia="zh-CN"/>
        </w:rPr>
        <w:t xml:space="preserve"> </w:t>
      </w:r>
      <w:r>
        <w:rPr>
          <w:rFonts w:hint="default" w:ascii="Times New Roman" w:hAnsi="Times New Roman" w:cs="Times New Roman"/>
          <w:color w:val="auto"/>
          <w:sz w:val="24"/>
          <w:szCs w:val="20"/>
          <w:lang w:val="en-US" w:eastAsia="zh-CN"/>
        </w:rPr>
        <w:t>射线</w:t>
      </w:r>
      <w:r>
        <w:rPr>
          <w:rFonts w:hint="default" w:ascii="Times New Roman" w:hAnsi="Times New Roman" w:cs="Times New Roman"/>
          <w:color w:val="auto"/>
          <w:sz w:val="24"/>
          <w:szCs w:val="20"/>
        </w:rPr>
        <w:t>的校准</w:t>
      </w:r>
      <w:r>
        <w:rPr>
          <w:rFonts w:hint="default" w:ascii="Times New Roman" w:hAnsi="Times New Roman" w:cs="Times New Roman"/>
          <w:color w:val="auto"/>
          <w:sz w:val="24"/>
          <w:szCs w:val="20"/>
          <w:lang w:val="en-US" w:eastAsia="zh-CN"/>
        </w:rPr>
        <w:t>系数</w:t>
      </w:r>
      <w:r>
        <w:rPr>
          <w:rFonts w:hint="default" w:ascii="Times New Roman" w:hAnsi="Times New Roman" w:cs="Times New Roman"/>
          <w:color w:val="auto"/>
          <w:sz w:val="24"/>
          <w:szCs w:val="20"/>
        </w:rPr>
        <w:t>；</w:t>
      </w:r>
    </w:p>
    <w:p>
      <w:pPr>
        <w:autoSpaceDE w:val="0"/>
        <w:autoSpaceDN w:val="0"/>
        <w:adjustRightInd w:val="0"/>
        <w:snapToGrid w:val="0"/>
        <w:spacing w:line="360" w:lineRule="auto"/>
        <w:ind w:firstLine="480" w:firstLineChars="200"/>
        <w:jc w:val="left"/>
        <w:rPr>
          <w:rFonts w:hint="default" w:ascii="Times New Roman" w:hAnsi="Times New Roman" w:cs="Times New Roman"/>
          <w:color w:val="auto"/>
          <w:sz w:val="24"/>
        </w:rPr>
      </w:pPr>
      <m:oMath>
        <m:sSub>
          <m:sSubPr>
            <m:ctrlPr>
              <w:rPr>
                <w:rFonts w:hint="default" w:ascii="Cambria Math" w:hAnsi="Cambria Math" w:cs="Times New Roman"/>
                <w:i/>
                <w:color w:val="auto"/>
                <w:sz w:val="24"/>
                <w:szCs w:val="20"/>
                <w:lang w:val="en-US" w:eastAsia="zh-CN"/>
              </w:rPr>
            </m:ctrlPr>
          </m:sSubPr>
          <m:e>
            <m:r>
              <m:rPr/>
              <w:rPr>
                <w:rFonts w:hint="default" w:ascii="Cambria Math" w:hAnsi="Cambria Math" w:cs="Times New Roman"/>
                <w:color w:val="auto"/>
                <w:sz w:val="24"/>
                <w:szCs w:val="20"/>
                <w:lang w:val="en-US" w:eastAsia="zh-CN"/>
              </w:rPr>
              <m:t>N</m:t>
            </m:r>
            <m:ctrlPr>
              <w:rPr>
                <w:rFonts w:hint="default" w:ascii="Cambria Math" w:hAnsi="Cambria Math" w:cs="Times New Roman"/>
                <w:i/>
                <w:color w:val="auto"/>
                <w:sz w:val="24"/>
                <w:szCs w:val="20"/>
                <w:lang w:val="en-US" w:eastAsia="zh-CN"/>
              </w:rPr>
            </m:ctrlPr>
          </m:e>
          <m:sub>
            <m:r>
              <m:rPr/>
              <w:rPr>
                <w:rFonts w:hint="default" w:ascii="Cambria Math" w:hAnsi="Cambria Math" w:cs="Times New Roman"/>
                <w:color w:val="auto"/>
                <w:sz w:val="24"/>
                <w:szCs w:val="20"/>
                <w:lang w:val="en-US" w:eastAsia="zh-CN"/>
              </w:rPr>
              <m:t>Q</m:t>
            </m:r>
            <m:ctrlPr>
              <w:rPr>
                <w:rFonts w:hint="default" w:ascii="Cambria Math" w:hAnsi="Cambria Math" w:cs="Times New Roman"/>
                <w:i/>
                <w:color w:val="auto"/>
                <w:sz w:val="24"/>
                <w:szCs w:val="20"/>
                <w:lang w:val="en-US" w:eastAsia="zh-CN"/>
              </w:rPr>
            </m:ctrlPr>
          </m:sub>
        </m:sSub>
      </m:oMath>
      <w:r>
        <w:rPr>
          <w:rFonts w:hint="default" w:ascii="Times New Roman" w:hAnsi="Times New Roman" w:cs="Times New Roman"/>
          <w:color w:val="auto"/>
          <w:sz w:val="24"/>
          <w:szCs w:val="20"/>
        </w:rPr>
        <w:t>——辐射质</w:t>
      </w:r>
      <w:r>
        <w:rPr>
          <w:rFonts w:hint="default" w:ascii="Times New Roman" w:hAnsi="Times New Roman" w:cs="Times New Roman"/>
          <w:i/>
          <w:iCs/>
          <w:color w:val="auto"/>
          <w:sz w:val="24"/>
          <w:szCs w:val="20"/>
          <w:lang w:val="en-US" w:eastAsia="zh-CN"/>
        </w:rPr>
        <w:t>Q</w:t>
      </w:r>
      <w:r>
        <w:rPr>
          <w:rFonts w:hint="default" w:ascii="Times New Roman" w:hAnsi="Times New Roman" w:cs="Times New Roman"/>
          <w:color w:val="auto"/>
          <w:sz w:val="24"/>
          <w:szCs w:val="20"/>
        </w:rPr>
        <w:t>的校准</w:t>
      </w:r>
      <w:r>
        <w:rPr>
          <w:rFonts w:hint="default" w:ascii="Times New Roman" w:hAnsi="Times New Roman" w:cs="Times New Roman"/>
          <w:color w:val="auto"/>
          <w:sz w:val="24"/>
          <w:szCs w:val="20"/>
          <w:lang w:val="en-US" w:eastAsia="zh-CN"/>
        </w:rPr>
        <w:t>系数</w:t>
      </w:r>
      <w:r>
        <w:rPr>
          <w:rFonts w:hint="default" w:ascii="Times New Roman" w:hAnsi="Times New Roman" w:cs="Times New Roman"/>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24" w:name="_Toc1686"/>
      <w:r>
        <w:rPr>
          <w:rFonts w:hint="default" w:ascii="Times New Roman" w:hAnsi="Times New Roman" w:cs="Times New Roman"/>
          <w:color w:val="auto"/>
          <w:lang w:val="en-US" w:eastAsia="zh-CN"/>
        </w:rPr>
        <w:t>5.3 固体剂量计使用前的剂量校准（或刻度）</w:t>
      </w:r>
      <w:bookmarkEnd w:id="124"/>
    </w:p>
    <w:p>
      <w:pPr>
        <w:keepNext w:val="0"/>
        <w:keepLines w:val="0"/>
        <w:pageBreakBefore w:val="0"/>
        <w:kinsoku/>
        <w:wordWrap/>
        <w:overflowPunct/>
        <w:topLinePunct w:val="0"/>
        <w:bidi w:val="0"/>
        <w:snapToGrid/>
        <w:spacing w:line="360" w:lineRule="auto"/>
        <w:ind w:firstLine="42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用于邮寄校准治疗束水吸收剂量的固体剂量计，应按照5.2开展性能测试并结合5.1</w:t>
      </w:r>
      <w:r>
        <w:rPr>
          <w:rFonts w:hint="eastAsia" w:cs="Times New Roman"/>
          <w:color w:val="auto"/>
          <w:lang w:val="en-US" w:eastAsia="zh-CN"/>
        </w:rPr>
        <w:t>固体探测器</w:t>
      </w:r>
      <w:r>
        <w:rPr>
          <w:rFonts w:hint="default" w:ascii="Times New Roman" w:hAnsi="Times New Roman" w:cs="Times New Roman"/>
          <w:color w:val="auto"/>
          <w:lang w:val="en-US" w:eastAsia="zh-CN"/>
        </w:rPr>
        <w:t>计量特性推荐值进行评估，满足要求的方可开展外照射治疗束水吸收剂量校准工作，并参照下列条款开展校准前的刻度。</w:t>
      </w:r>
    </w:p>
    <w:p>
      <w:pPr>
        <w:keepNext w:val="0"/>
        <w:keepLines w:val="0"/>
        <w:pageBreakBefore w:val="0"/>
        <w:kinsoku/>
        <w:wordWrap/>
        <w:overflowPunct/>
        <w:topLinePunct w:val="0"/>
        <w:bidi w:val="0"/>
        <w:snapToGrid/>
        <w:spacing w:line="360" w:lineRule="auto"/>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5.3.1由</w:t>
      </w:r>
      <w:r>
        <w:rPr>
          <w:rFonts w:hint="eastAsia" w:cs="Times New Roman"/>
          <w:color w:val="auto"/>
          <w:vertAlign w:val="superscript"/>
          <w:lang w:val="en-US" w:eastAsia="zh-CN"/>
        </w:rPr>
        <w:t>60</w:t>
      </w:r>
      <w:r>
        <w:rPr>
          <w:rFonts w:hint="default" w:ascii="Times New Roman" w:hAnsi="Times New Roman" w:cs="Times New Roman"/>
          <w:color w:val="auto"/>
          <w:lang w:val="en-US" w:eastAsia="zh-CN"/>
        </w:rPr>
        <w:t>Co</w:t>
      </w:r>
      <w:r>
        <w:rPr>
          <w:rFonts w:hint="eastAsia" w:cs="Times New Roman"/>
          <w:color w:val="auto"/>
          <w:lang w:val="en-US" w:eastAsia="zh-CN"/>
        </w:rPr>
        <w:t xml:space="preserve"> </w:t>
      </w:r>
      <w:r>
        <w:rPr>
          <w:rFonts w:hint="default" w:ascii="Times New Roman" w:hAnsi="Times New Roman" w:cs="Times New Roman"/>
          <w:color w:val="auto"/>
          <w:lang w:val="en-US" w:eastAsia="zh-CN"/>
        </w:rPr>
        <w:t>γ</w:t>
      </w:r>
      <w:r>
        <w:rPr>
          <w:rFonts w:hint="eastAsia" w:cs="Times New Roman"/>
          <w:color w:val="auto"/>
          <w:lang w:val="en-US" w:eastAsia="zh-CN"/>
        </w:rPr>
        <w:t xml:space="preserve"> </w:t>
      </w:r>
      <w:r>
        <w:rPr>
          <w:rFonts w:hint="default" w:ascii="Times New Roman" w:hAnsi="Times New Roman" w:cs="Times New Roman"/>
          <w:color w:val="auto"/>
          <w:lang w:val="en-US" w:eastAsia="zh-CN"/>
        </w:rPr>
        <w:t>射线水吸收剂量国家基准装置或传递标准器依据相应的基标准操作规范或JJF1743-2019《放射治疗用电离室剂量计水吸收剂量校准规范》给出校准点的水吸收剂量值。</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default" w:ascii="Times New Roman" w:hAnsi="Times New Roman" w:cs="Times New Roman"/>
          <w:color w:val="auto"/>
          <w:lang w:val="en-US" w:eastAsia="zh-CN"/>
        </w:rPr>
      </w:pPr>
      <w:r>
        <w:rPr>
          <w:rFonts w:hint="default" w:ascii="Times New Roman" w:hAnsi="Times New Roman" w:eastAsia="黑体" w:cs="Times New Roman"/>
          <w:color w:val="auto"/>
          <w:kern w:val="0"/>
          <w:sz w:val="18"/>
          <w:szCs w:val="18"/>
          <w:lang w:val="en-US" w:eastAsia="zh-CN" w:bidi="ar-SA"/>
        </w:rPr>
        <w:t>注：</w:t>
      </w:r>
      <w:r>
        <w:rPr>
          <w:rFonts w:hint="default" w:ascii="Times New Roman" w:hAnsi="Times New Roman" w:eastAsia="宋体" w:cs="Times New Roman"/>
          <w:color w:val="auto"/>
          <w:kern w:val="0"/>
          <w:sz w:val="18"/>
          <w:szCs w:val="18"/>
          <w:lang w:val="en-US" w:eastAsia="zh-CN" w:bidi="ar-SA"/>
        </w:rPr>
        <w:t>除了在</w:t>
      </w:r>
      <w:r>
        <w:rPr>
          <w:rFonts w:hint="eastAsia" w:cs="Times New Roman"/>
          <w:color w:val="auto"/>
          <w:kern w:val="0"/>
          <w:sz w:val="18"/>
          <w:szCs w:val="18"/>
          <w:vertAlign w:val="superscript"/>
          <w:lang w:val="en-US" w:eastAsia="zh-CN" w:bidi="ar-SA"/>
        </w:rPr>
        <w:t>60</w:t>
      </w:r>
      <w:r>
        <w:rPr>
          <w:rFonts w:hint="default" w:ascii="Times New Roman" w:hAnsi="Times New Roman" w:eastAsia="宋体" w:cs="Times New Roman"/>
          <w:color w:val="auto"/>
          <w:kern w:val="0"/>
          <w:sz w:val="18"/>
          <w:szCs w:val="18"/>
          <w:lang w:val="en-US" w:eastAsia="zh-CN" w:bidi="ar-SA"/>
        </w:rPr>
        <w:t>Co</w:t>
      </w:r>
      <w:r>
        <w:rPr>
          <w:rFonts w:hint="eastAsia" w:cs="Times New Roman"/>
          <w:color w:val="auto"/>
          <w:kern w:val="0"/>
          <w:sz w:val="18"/>
          <w:szCs w:val="18"/>
          <w:lang w:val="en-US" w:eastAsia="zh-CN" w:bidi="ar-SA"/>
        </w:rPr>
        <w:t xml:space="preserve"> </w:t>
      </w:r>
      <w:r>
        <w:rPr>
          <w:rFonts w:hint="default" w:ascii="Times New Roman" w:hAnsi="Times New Roman" w:eastAsia="宋体" w:cs="Times New Roman"/>
          <w:color w:val="auto"/>
          <w:kern w:val="0"/>
          <w:sz w:val="18"/>
          <w:szCs w:val="18"/>
          <w:lang w:val="en-US" w:eastAsia="zh-CN" w:bidi="ar-SA"/>
        </w:rPr>
        <w:t>γ</w:t>
      </w:r>
      <w:r>
        <w:rPr>
          <w:rFonts w:hint="eastAsia" w:cs="Times New Roman"/>
          <w:color w:val="auto"/>
          <w:kern w:val="0"/>
          <w:sz w:val="18"/>
          <w:szCs w:val="18"/>
          <w:lang w:val="en-US" w:eastAsia="zh-CN" w:bidi="ar-SA"/>
        </w:rPr>
        <w:t xml:space="preserve"> </w:t>
      </w:r>
      <w:r>
        <w:rPr>
          <w:rFonts w:hint="default" w:ascii="Times New Roman" w:hAnsi="Times New Roman" w:eastAsia="宋体" w:cs="Times New Roman"/>
          <w:color w:val="auto"/>
          <w:kern w:val="0"/>
          <w:sz w:val="18"/>
          <w:szCs w:val="18"/>
          <w:lang w:val="en-US" w:eastAsia="zh-CN" w:bidi="ar-SA"/>
        </w:rPr>
        <w:t>射线辐射场开展固体剂量计校准或刻度，也可以选择经过校准的与待</w:t>
      </w:r>
      <w:r>
        <w:rPr>
          <w:rFonts w:hint="default" w:ascii="Times New Roman" w:hAnsi="Times New Roman" w:cs="Times New Roman"/>
          <w:color w:val="auto"/>
          <w:kern w:val="0"/>
          <w:sz w:val="18"/>
          <w:szCs w:val="18"/>
          <w:lang w:val="en-US" w:eastAsia="zh-CN" w:bidi="ar-SA"/>
        </w:rPr>
        <w:t>校准</w:t>
      </w:r>
      <w:r>
        <w:rPr>
          <w:rFonts w:hint="default" w:ascii="Times New Roman" w:hAnsi="Times New Roman" w:eastAsia="宋体" w:cs="Times New Roman"/>
          <w:color w:val="auto"/>
          <w:kern w:val="0"/>
          <w:sz w:val="18"/>
          <w:szCs w:val="18"/>
          <w:lang w:val="en-US" w:eastAsia="zh-CN" w:bidi="ar-SA"/>
        </w:rPr>
        <w:t>射束相同射线质的辐射场进行固体剂量计的校准。采用非标准参考辐射场对固体剂量计进行校准，应在校准前后使用校准证书在有效期内的电离室剂量计进行参考剂量的测量和验证，该校准方案的优势是可以最小化待</w:t>
      </w:r>
      <w:r>
        <w:rPr>
          <w:rFonts w:hint="default" w:ascii="Times New Roman" w:hAnsi="Times New Roman" w:cs="Times New Roman"/>
          <w:color w:val="auto"/>
          <w:kern w:val="0"/>
          <w:sz w:val="18"/>
          <w:szCs w:val="18"/>
          <w:lang w:val="en-US" w:eastAsia="zh-CN" w:bidi="ar-SA"/>
        </w:rPr>
        <w:t>校准</w:t>
      </w:r>
      <w:r>
        <w:rPr>
          <w:rFonts w:hint="default" w:ascii="Times New Roman" w:hAnsi="Times New Roman" w:eastAsia="宋体" w:cs="Times New Roman"/>
          <w:color w:val="auto"/>
          <w:kern w:val="0"/>
          <w:sz w:val="18"/>
          <w:szCs w:val="18"/>
          <w:lang w:val="en-US" w:eastAsia="zh-CN" w:bidi="ar-SA"/>
        </w:rPr>
        <w:t>束流和校准固体剂量计束流能量响应差异的影响。</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b w:val="0"/>
          <w:bCs w:val="0"/>
          <w:color w:val="auto"/>
          <w:kern w:val="28"/>
          <w:szCs w:val="24"/>
          <w:lang w:val="en-US" w:eastAsia="zh-CN"/>
        </w:rPr>
        <w:t>5.3.2 校准组织单位取出与待校准单位同批次固</w:t>
      </w:r>
      <w:r>
        <w:rPr>
          <w:rFonts w:hint="default" w:ascii="Times New Roman" w:hAnsi="Times New Roman" w:cs="Times New Roman"/>
          <w:b w:val="0"/>
          <w:bCs w:val="0"/>
          <w:color w:val="auto"/>
          <w:kern w:val="28"/>
          <w:szCs w:val="24"/>
          <w:highlight w:val="none"/>
          <w:lang w:val="en-US" w:eastAsia="zh-CN"/>
        </w:rPr>
        <w:t>体剂量计，在</w:t>
      </w:r>
      <w:r>
        <w:rPr>
          <w:rFonts w:hint="eastAsia" w:cs="Times New Roman"/>
          <w:b w:val="0"/>
          <w:bCs w:val="0"/>
          <w:color w:val="auto"/>
          <w:kern w:val="28"/>
          <w:szCs w:val="24"/>
          <w:highlight w:val="none"/>
          <w:vertAlign w:val="superscript"/>
          <w:lang w:val="en-US" w:eastAsia="zh-CN"/>
        </w:rPr>
        <w:t>60</w:t>
      </w:r>
      <w:r>
        <w:rPr>
          <w:rFonts w:hint="default" w:ascii="Times New Roman" w:hAnsi="Times New Roman" w:cs="Times New Roman"/>
          <w:b w:val="0"/>
          <w:bCs w:val="0"/>
          <w:color w:val="auto"/>
          <w:kern w:val="28"/>
          <w:szCs w:val="24"/>
          <w:highlight w:val="none"/>
          <w:lang w:val="en-US" w:eastAsia="zh-CN"/>
        </w:rPr>
        <w:t>Co</w:t>
      </w:r>
      <w:r>
        <w:rPr>
          <w:rFonts w:hint="eastAsia" w:cs="Times New Roman"/>
          <w:b w:val="0"/>
          <w:bCs w:val="0"/>
          <w:color w:val="auto"/>
          <w:kern w:val="28"/>
          <w:szCs w:val="24"/>
          <w:highlight w:val="none"/>
          <w:lang w:val="en-US" w:eastAsia="zh-CN"/>
        </w:rPr>
        <w:t xml:space="preserve"> </w:t>
      </w:r>
      <w:r>
        <w:rPr>
          <w:rFonts w:hint="default" w:ascii="Times New Roman" w:hAnsi="Times New Roman" w:cs="Times New Roman"/>
          <w:b w:val="0"/>
          <w:bCs w:val="0"/>
          <w:color w:val="auto"/>
          <w:kern w:val="28"/>
          <w:szCs w:val="24"/>
          <w:highlight w:val="none"/>
          <w:lang w:val="en-US" w:eastAsia="zh-CN"/>
        </w:rPr>
        <w:t>γ</w:t>
      </w:r>
      <w:r>
        <w:rPr>
          <w:rFonts w:hint="eastAsia" w:cs="Times New Roman"/>
          <w:b w:val="0"/>
          <w:bCs w:val="0"/>
          <w:color w:val="auto"/>
          <w:kern w:val="28"/>
          <w:szCs w:val="24"/>
          <w:highlight w:val="none"/>
          <w:lang w:val="en-US" w:eastAsia="zh-CN"/>
        </w:rPr>
        <w:t xml:space="preserve"> </w:t>
      </w:r>
      <w:r>
        <w:rPr>
          <w:rFonts w:hint="default" w:ascii="Times New Roman" w:hAnsi="Times New Roman" w:cs="Times New Roman"/>
          <w:b w:val="0"/>
          <w:bCs w:val="0"/>
          <w:color w:val="auto"/>
          <w:kern w:val="28"/>
          <w:szCs w:val="24"/>
          <w:highlight w:val="none"/>
          <w:lang w:val="en-US" w:eastAsia="zh-CN"/>
        </w:rPr>
        <w:t>射线束中根据所用</w:t>
      </w:r>
      <w:r>
        <w:rPr>
          <w:rFonts w:hint="default" w:ascii="Times New Roman" w:hAnsi="Times New Roman" w:cs="Times New Roman"/>
          <w:b w:val="0"/>
          <w:bCs w:val="0"/>
          <w:color w:val="auto"/>
          <w:kern w:val="28"/>
          <w:szCs w:val="24"/>
          <w:lang w:val="en-US" w:eastAsia="zh-CN"/>
        </w:rPr>
        <w:t>固体剂量计的剂量学特性，辐照不少于6个不同标准剂量值（如：0.5 Gy、1.0 Gy、1.5 Gy、2.0 Gy、2.5 Gy、3.0 Gy）作为固体剂量计的标准曲线刻度。</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eastAsia="黑体" w:cs="Times New Roman"/>
          <w:color w:val="auto"/>
          <w:kern w:val="0"/>
          <w:sz w:val="18"/>
          <w:szCs w:val="18"/>
          <w:lang w:val="en-US" w:eastAsia="zh-CN" w:bidi="ar-SA"/>
        </w:rPr>
        <w:t>注：</w:t>
      </w:r>
      <w:r>
        <w:rPr>
          <w:rFonts w:hint="default" w:ascii="Times New Roman" w:hAnsi="Times New Roman" w:cs="Times New Roman"/>
          <w:color w:val="auto"/>
          <w:kern w:val="0"/>
          <w:sz w:val="18"/>
          <w:szCs w:val="18"/>
          <w:lang w:val="en-US" w:eastAsia="zh-CN" w:bidi="ar-SA"/>
        </w:rPr>
        <w:t>类似的其他用于校准固体剂量计的射束也需要选择与待校准射束相近的剂量率、能量和辐射野等条件进行校准。针对不同剂量计的剂量上下限可以结合具体剂量计类型选择包含待校准剂量</w:t>
      </w:r>
      <w:r>
        <w:rPr>
          <w:rFonts w:hint="eastAsia" w:cs="Times New Roman"/>
          <w:color w:val="auto"/>
          <w:kern w:val="0"/>
          <w:sz w:val="18"/>
          <w:szCs w:val="18"/>
          <w:lang w:val="en-US" w:eastAsia="zh-CN" w:bidi="ar-SA"/>
        </w:rPr>
        <w:t>值</w:t>
      </w:r>
      <w:r>
        <w:rPr>
          <w:rFonts w:hint="default" w:ascii="Times New Roman" w:hAnsi="Times New Roman" w:cs="Times New Roman"/>
          <w:color w:val="auto"/>
          <w:kern w:val="0"/>
          <w:sz w:val="18"/>
          <w:szCs w:val="18"/>
          <w:lang w:val="en-US" w:eastAsia="zh-CN" w:bidi="ar-SA"/>
        </w:rPr>
        <w:t>的范围进行刻度。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b w:val="0"/>
          <w:bCs w:val="0"/>
          <w:color w:val="auto"/>
          <w:kern w:val="28"/>
          <w:szCs w:val="24"/>
          <w:lang w:val="en-US" w:eastAsia="zh-CN"/>
        </w:rPr>
        <w:t>5.3.3 对标准曲线刻度的固体剂量计进行读数</w:t>
      </w:r>
      <w:r>
        <w:rPr>
          <w:rFonts w:hint="eastAsia" w:cs="Times New Roman"/>
          <w:b w:val="0"/>
          <w:bCs w:val="0"/>
          <w:color w:val="auto"/>
          <w:kern w:val="28"/>
          <w:szCs w:val="24"/>
          <w:lang w:val="en-US" w:eastAsia="zh-CN"/>
        </w:rPr>
        <w:t>和</w:t>
      </w:r>
      <w:r>
        <w:rPr>
          <w:rFonts w:hint="default" w:ascii="Times New Roman" w:hAnsi="Times New Roman" w:cs="Times New Roman"/>
          <w:b w:val="0"/>
          <w:bCs w:val="0"/>
          <w:color w:val="auto"/>
          <w:kern w:val="28"/>
          <w:szCs w:val="24"/>
          <w:lang w:val="en-US" w:eastAsia="zh-CN"/>
        </w:rPr>
        <w:t>线性回归分析。设</w:t>
      </w:r>
      <w:r>
        <w:rPr>
          <w:rFonts w:hint="default" w:ascii="Times New Roman" w:hAnsi="Times New Roman" w:cs="Times New Roman"/>
          <w:b w:val="0"/>
          <w:bCs w:val="0"/>
          <w:i/>
          <w:iCs/>
          <w:color w:val="auto"/>
          <w:kern w:val="28"/>
          <w:szCs w:val="24"/>
          <w:lang w:val="en-US" w:eastAsia="zh-CN"/>
        </w:rPr>
        <w:t>y</w:t>
      </w:r>
      <w:r>
        <w:rPr>
          <w:rFonts w:hint="default" w:ascii="Times New Roman" w:hAnsi="Times New Roman" w:cs="Times New Roman"/>
          <w:b w:val="0"/>
          <w:bCs w:val="0"/>
          <w:color w:val="auto"/>
          <w:kern w:val="28"/>
          <w:szCs w:val="24"/>
          <w:lang w:val="en-US" w:eastAsia="zh-CN"/>
        </w:rPr>
        <w:t>为辐照剂量值，</w:t>
      </w:r>
      <w:r>
        <w:rPr>
          <w:rFonts w:hint="default" w:ascii="Times New Roman" w:hAnsi="Times New Roman" w:cs="Times New Roman"/>
          <w:b w:val="0"/>
          <w:bCs w:val="0"/>
          <w:i/>
          <w:iCs/>
          <w:color w:val="auto"/>
          <w:kern w:val="28"/>
          <w:szCs w:val="24"/>
          <w:lang w:val="en-US" w:eastAsia="zh-CN"/>
        </w:rPr>
        <w:t>x</w:t>
      </w:r>
      <w:r>
        <w:rPr>
          <w:rFonts w:hint="default" w:ascii="Times New Roman" w:hAnsi="Times New Roman" w:cs="Times New Roman"/>
          <w:b w:val="0"/>
          <w:bCs w:val="0"/>
          <w:color w:val="auto"/>
          <w:kern w:val="28"/>
          <w:szCs w:val="24"/>
          <w:lang w:val="en-US" w:eastAsia="zh-CN"/>
        </w:rPr>
        <w:t>为读出器测量读数，则线性回归方程</w:t>
      </w:r>
      <w:r>
        <w:rPr>
          <w:rFonts w:hint="eastAsia" w:cs="Times New Roman"/>
          <w:b w:val="0"/>
          <w:bCs w:val="0"/>
          <w:color w:val="auto"/>
          <w:kern w:val="28"/>
          <w:szCs w:val="24"/>
          <w:lang w:val="en-US" w:eastAsia="zh-CN"/>
        </w:rPr>
        <w:t>如式（2）所示。</w:t>
      </w:r>
    </w:p>
    <w:tbl>
      <w:tblPr>
        <w:tblStyle w:val="8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8"/>
        <w:gridCol w:w="3238"/>
        <w:gridCol w:w="32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38"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w:p>
        </w:tc>
        <w:tc>
          <w:tcPr>
            <w:tcW w:w="3238"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m:oMathPara>
              <m:oMath>
                <m:r>
                  <m:rPr/>
                  <w:rPr>
                    <w:rFonts w:hint="default" w:ascii="Cambria Math" w:hAnsi="Cambria Math" w:cs="Times New Roman"/>
                    <w:color w:val="auto"/>
                    <w:kern w:val="28"/>
                    <w:sz w:val="24"/>
                    <w:szCs w:val="24"/>
                    <w:lang w:val="en-US" w:eastAsia="zh-CN" w:bidi="ar-SA"/>
                  </w:rPr>
                  <m:t>y</m:t>
                </m:r>
                <m:r>
                  <m:rPr>
                    <m:sty m:val="p"/>
                  </m:rPr>
                  <w:rPr>
                    <w:rFonts w:hint="default" w:ascii="Cambria Math" w:hAnsi="Cambria Math" w:cs="Times New Roman"/>
                    <w:color w:val="auto"/>
                    <w:kern w:val="28"/>
                    <w:sz w:val="24"/>
                    <w:szCs w:val="24"/>
                    <w:lang w:val="en-US" w:eastAsia="zh-CN" w:bidi="ar-SA"/>
                  </w:rPr>
                  <m:t>=</m:t>
                </m:r>
                <m:r>
                  <m:rPr/>
                  <w:rPr>
                    <w:rFonts w:hint="default" w:ascii="Cambria Math" w:hAnsi="Cambria Math" w:cs="Times New Roman"/>
                    <w:color w:val="auto"/>
                    <w:kern w:val="28"/>
                    <w:sz w:val="24"/>
                    <w:szCs w:val="24"/>
                    <w:lang w:val="en-US" w:eastAsia="zh-CN" w:bidi="ar-SA"/>
                  </w:rPr>
                  <m:t>b</m:t>
                </m:r>
                <m:r>
                  <m:rPr>
                    <m:sty m:val="p"/>
                  </m:rPr>
                  <w:rPr>
                    <w:rFonts w:hint="default" w:ascii="Cambria Math" w:hAnsi="Cambria Math" w:cs="Times New Roman"/>
                    <w:color w:val="auto"/>
                    <w:kern w:val="28"/>
                    <w:sz w:val="24"/>
                    <w:szCs w:val="24"/>
                    <w:lang w:val="en-US" w:eastAsia="zh-CN" w:bidi="ar-SA"/>
                  </w:rPr>
                  <m:t>+</m:t>
                </m:r>
                <m:r>
                  <m:rPr/>
                  <w:rPr>
                    <w:rFonts w:hint="default" w:ascii="Cambria Math" w:hAnsi="Cambria Math" w:cs="Times New Roman"/>
                    <w:color w:val="auto"/>
                    <w:kern w:val="28"/>
                    <w:sz w:val="24"/>
                    <w:szCs w:val="24"/>
                    <w:lang w:val="en-US" w:eastAsia="zh-CN" w:bidi="ar-SA"/>
                  </w:rPr>
                  <m:t>mx</m:t>
                </m:r>
              </m:oMath>
            </m:oMathPara>
          </w:p>
        </w:tc>
        <w:tc>
          <w:tcPr>
            <w:tcW w:w="3238"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rPr>
                <w:rFonts w:hint="default" w:ascii="Times New Roman" w:hAnsi="Times New Roman" w:cs="Times New Roman"/>
                <w:i w:val="0"/>
                <w:color w:val="auto"/>
                <w:kern w:val="28"/>
                <w:sz w:val="24"/>
                <w:szCs w:val="24"/>
                <w:vertAlign w:val="baseline"/>
                <w:lang w:val="en-US" w:eastAsia="zh-CN" w:bidi="ar-SA"/>
              </w:rPr>
            </w:pPr>
            <w:r>
              <w:rPr>
                <w:rFonts w:hint="default" w:ascii="Times New Roman" w:hAnsi="Times New Roman" w:cs="Times New Roman"/>
                <w:i w:val="0"/>
                <w:color w:val="auto"/>
                <w:kern w:val="28"/>
                <w:sz w:val="24"/>
                <w:szCs w:val="24"/>
                <w:vertAlign w:val="baseline"/>
                <w:lang w:val="en-US" w:eastAsia="zh-CN" w:bidi="ar-SA"/>
              </w:rPr>
              <w:t>（</w:t>
            </w:r>
            <w:r>
              <w:rPr>
                <w:rFonts w:hint="eastAsia" w:cs="Times New Roman"/>
                <w:i w:val="0"/>
                <w:color w:val="auto"/>
                <w:kern w:val="28"/>
                <w:sz w:val="24"/>
                <w:szCs w:val="24"/>
                <w:vertAlign w:val="baseline"/>
                <w:lang w:val="en-US" w:eastAsia="zh-CN" w:bidi="ar-SA"/>
              </w:rPr>
              <w:t>2</w:t>
            </w:r>
            <w:r>
              <w:rPr>
                <w:rFonts w:hint="default" w:ascii="Times New Roman" w:hAnsi="Times New Roman" w:cs="Times New Roman"/>
                <w:i w:val="0"/>
                <w:color w:val="auto"/>
                <w:kern w:val="28"/>
                <w:sz w:val="24"/>
                <w:szCs w:val="24"/>
                <w:vertAlign w:val="baseline"/>
                <w:lang w:val="en-US" w:eastAsia="zh-CN" w:bidi="ar-SA"/>
              </w:rPr>
              <w:t>）</w:t>
            </w:r>
          </w:p>
        </w:tc>
      </w:tr>
    </w:tbl>
    <w:p>
      <w:pPr>
        <w:keepNext w:val="0"/>
        <w:keepLines w:val="0"/>
        <w:pageBreakBefore w:val="0"/>
        <w:kinsoku/>
        <w:wordWrap/>
        <w:overflowPunct/>
        <w:topLinePunct w:val="0"/>
        <w:bidi w:val="0"/>
        <w:snapToGrid/>
        <w:spacing w:line="360" w:lineRule="auto"/>
        <w:textAlignment w:val="auto"/>
        <w:rPr>
          <w:rFonts w:hint="default" w:ascii="Times New Roman" w:hAnsi="Times New Roman" w:cs="Times New Roman"/>
          <w:color w:val="auto"/>
          <w:lang w:val="en-US" w:eastAsia="zh-CN"/>
        </w:rPr>
      </w:pPr>
      <w:r>
        <w:rPr>
          <w:rFonts w:hint="default" w:ascii="Times New Roman" w:hAnsi="Times New Roman" w:cs="Times New Roman"/>
          <w:b w:val="0"/>
          <w:bCs w:val="0"/>
          <w:color w:val="auto"/>
          <w:kern w:val="28"/>
          <w:szCs w:val="24"/>
          <w:lang w:val="en-US" w:eastAsia="zh-CN"/>
        </w:rPr>
        <w:t>式中：</w:t>
      </w:r>
      <w:r>
        <w:rPr>
          <w:rFonts w:hint="default" w:ascii="Times New Roman" w:hAnsi="Times New Roman" w:cs="Times New Roman"/>
          <w:b w:val="0"/>
          <w:bCs w:val="0"/>
          <w:i/>
          <w:iCs/>
          <w:color w:val="auto"/>
          <w:kern w:val="28"/>
          <w:szCs w:val="24"/>
          <w:lang w:val="en-US" w:eastAsia="zh-CN"/>
        </w:rPr>
        <w:t>b</w:t>
      </w:r>
      <w:r>
        <w:rPr>
          <w:rFonts w:hint="default" w:ascii="Times New Roman" w:hAnsi="Times New Roman" w:cs="Times New Roman"/>
          <w:b w:val="0"/>
          <w:bCs w:val="0"/>
          <w:color w:val="auto"/>
          <w:kern w:val="28"/>
          <w:szCs w:val="24"/>
          <w:lang w:val="en-US" w:eastAsia="zh-CN"/>
        </w:rPr>
        <w:t>为标准曲线截距；</w:t>
      </w:r>
      <w:r>
        <w:rPr>
          <w:rFonts w:hint="default" w:ascii="Times New Roman" w:hAnsi="Times New Roman" w:cs="Times New Roman"/>
          <w:b w:val="0"/>
          <w:bCs w:val="0"/>
          <w:i/>
          <w:iCs/>
          <w:color w:val="auto"/>
          <w:kern w:val="28"/>
          <w:szCs w:val="24"/>
          <w:lang w:val="en-US" w:eastAsia="zh-CN"/>
        </w:rPr>
        <w:t>m</w:t>
      </w:r>
      <w:r>
        <w:rPr>
          <w:rFonts w:hint="default" w:ascii="Times New Roman" w:hAnsi="Times New Roman" w:cs="Times New Roman"/>
          <w:b w:val="0"/>
          <w:bCs w:val="0"/>
          <w:color w:val="auto"/>
          <w:kern w:val="28"/>
          <w:szCs w:val="24"/>
          <w:lang w:val="en-US" w:eastAsia="zh-CN"/>
        </w:rPr>
        <w:t>为标准曲线斜率。</w:t>
      </w:r>
    </w:p>
    <w:p>
      <w:pPr>
        <w:pStyle w:val="3"/>
        <w:keepNext w:val="0"/>
        <w:keepLines w:val="0"/>
        <w:pageBreakBefore w:val="0"/>
        <w:numPr>
          <w:ilvl w:val="0"/>
          <w:numId w:val="0"/>
        </w:numPr>
        <w:kinsoku/>
        <w:wordWrap/>
        <w:overflowPunct/>
        <w:topLinePunct w:val="0"/>
        <w:bidi w:val="0"/>
        <w:spacing w:before="156" w:beforeLines="50" w:after="156" w:afterLines="50" w:line="360" w:lineRule="auto"/>
        <w:ind w:right="240"/>
        <w:textAlignment w:val="auto"/>
        <w:rPr>
          <w:rFonts w:hint="default" w:ascii="Times New Roman" w:hAnsi="Times New Roman" w:cs="Times New Roman"/>
          <w:b w:val="0"/>
          <w:color w:val="auto"/>
        </w:rPr>
      </w:pPr>
      <w:bookmarkStart w:id="125" w:name="_Toc373339095"/>
      <w:bookmarkStart w:id="126" w:name="_Toc18380"/>
      <w:bookmarkStart w:id="127" w:name="_Toc373698939"/>
      <w:bookmarkStart w:id="128" w:name="_Toc30483"/>
      <w:bookmarkStart w:id="129" w:name="_Toc732"/>
      <w:bookmarkStart w:id="130" w:name="_Toc18770"/>
      <w:bookmarkStart w:id="131" w:name="_Toc146027207"/>
      <w:r>
        <w:rPr>
          <w:rFonts w:hint="default" w:ascii="Times New Roman" w:hAnsi="Times New Roman" w:cs="Times New Roman"/>
          <w:b w:val="0"/>
          <w:color w:val="auto"/>
        </w:rPr>
        <w:t xml:space="preserve">6  </w:t>
      </w:r>
      <w:r>
        <w:rPr>
          <w:rFonts w:hint="default" w:ascii="Times New Roman" w:hAnsi="Times New Roman" w:cs="Times New Roman"/>
          <w:b w:val="0"/>
          <w:color w:val="auto"/>
          <w:lang w:val="en-US" w:eastAsia="zh-CN"/>
        </w:rPr>
        <w:t>校准</w:t>
      </w:r>
      <w:r>
        <w:rPr>
          <w:rFonts w:hint="default" w:ascii="Times New Roman" w:hAnsi="Times New Roman" w:cs="Times New Roman"/>
          <w:b w:val="0"/>
          <w:color w:val="auto"/>
        </w:rPr>
        <w:t>条件</w:t>
      </w:r>
      <w:bookmarkEnd w:id="125"/>
      <w:bookmarkEnd w:id="126"/>
      <w:bookmarkEnd w:id="127"/>
      <w:bookmarkEnd w:id="128"/>
      <w:bookmarkEnd w:id="129"/>
      <w:bookmarkEnd w:id="130"/>
      <w:bookmarkEnd w:id="131"/>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32" w:name="_Toc28530"/>
      <w:bookmarkStart w:id="133" w:name="_Toc28335"/>
      <w:bookmarkStart w:id="134" w:name="_Toc373339096"/>
      <w:bookmarkStart w:id="135" w:name="_Toc146027208"/>
      <w:bookmarkStart w:id="136" w:name="_Toc373698940"/>
      <w:r>
        <w:rPr>
          <w:rFonts w:hint="default" w:ascii="Times New Roman" w:hAnsi="Times New Roman" w:cs="Times New Roman"/>
          <w:color w:val="auto"/>
          <w:lang w:val="en-US" w:eastAsia="zh-CN"/>
        </w:rPr>
        <w:t>6.1  环境条件</w:t>
      </w:r>
      <w:bookmarkEnd w:id="132"/>
      <w:bookmarkEnd w:id="133"/>
      <w:bookmarkEnd w:id="134"/>
      <w:bookmarkEnd w:id="135"/>
      <w:bookmarkEnd w:id="136"/>
    </w:p>
    <w:p>
      <w:pPr>
        <w:pStyle w:val="110"/>
        <w:keepNext w:val="0"/>
        <w:keepLines w:val="0"/>
        <w:pageBreakBefore w:val="0"/>
        <w:kinsoku/>
        <w:wordWrap/>
        <w:overflowPunct/>
        <w:topLinePunct w:val="0"/>
        <w:bidi w:val="0"/>
        <w:snapToGrid w:val="0"/>
        <w:spacing w:line="360" w:lineRule="auto"/>
        <w:ind w:left="0" w:firstLine="0"/>
        <w:contextualSpacing w:val="0"/>
        <w:textAlignment w:val="auto"/>
        <w:rPr>
          <w:rFonts w:hint="default" w:ascii="Times New Roman" w:hAnsi="Times New Roman" w:cs="Times New Roman"/>
          <w:bCs/>
          <w:color w:val="auto"/>
          <w:kern w:val="28"/>
          <w:sz w:val="24"/>
          <w:szCs w:val="32"/>
          <w:lang w:eastAsia="zh-CN" w:bidi="ar-SA"/>
        </w:rPr>
      </w:pPr>
      <w:r>
        <w:rPr>
          <w:rFonts w:hint="default" w:ascii="Times New Roman" w:hAnsi="Times New Roman" w:cs="Times New Roman"/>
          <w:bCs/>
          <w:color w:val="auto"/>
          <w:kern w:val="28"/>
          <w:sz w:val="24"/>
          <w:szCs w:val="32"/>
          <w:lang w:eastAsia="zh-CN" w:bidi="ar-SA"/>
        </w:rPr>
        <w:t>6.1.1</w:t>
      </w:r>
      <w:r>
        <w:rPr>
          <w:rFonts w:hint="default" w:ascii="Times New Roman" w:hAnsi="Times New Roman" w:cs="Times New Roman"/>
          <w:bCs/>
          <w:color w:val="auto"/>
          <w:kern w:val="28"/>
          <w:sz w:val="24"/>
          <w:szCs w:val="32"/>
          <w:lang w:val="en-US" w:eastAsia="zh-CN" w:bidi="ar-SA"/>
        </w:rPr>
        <w:t xml:space="preserve"> </w:t>
      </w:r>
      <w:r>
        <w:rPr>
          <w:rFonts w:hint="default" w:ascii="Times New Roman" w:hAnsi="Times New Roman" w:cs="Times New Roman"/>
          <w:bCs/>
          <w:color w:val="auto"/>
          <w:kern w:val="28"/>
          <w:sz w:val="24"/>
          <w:szCs w:val="32"/>
          <w:lang w:eastAsia="zh-CN" w:bidi="ar-SA"/>
        </w:rPr>
        <w:t>环境温度：（</w:t>
      </w:r>
      <w:r>
        <w:rPr>
          <w:rFonts w:hint="default" w:ascii="Times New Roman" w:hAnsi="Times New Roman" w:cs="Times New Roman"/>
          <w:bCs/>
          <w:color w:val="auto"/>
          <w:kern w:val="28"/>
          <w:sz w:val="24"/>
          <w:szCs w:val="32"/>
          <w:lang w:val="en-US" w:eastAsia="zh-CN" w:bidi="ar-SA"/>
        </w:rPr>
        <w:t>15</w:t>
      </w:r>
      <w:r>
        <w:rPr>
          <w:rFonts w:hint="default" w:ascii="Times New Roman" w:hAnsi="Times New Roman" w:cs="Times New Roman"/>
          <w:bCs/>
          <w:color w:val="auto"/>
          <w:kern w:val="28"/>
          <w:sz w:val="24"/>
          <w:szCs w:val="32"/>
          <w:lang w:eastAsia="zh-CN" w:bidi="ar-SA"/>
        </w:rPr>
        <w:t>～</w:t>
      </w:r>
      <w:r>
        <w:rPr>
          <w:rFonts w:hint="default" w:ascii="Times New Roman" w:hAnsi="Times New Roman" w:cs="Times New Roman"/>
          <w:bCs/>
          <w:color w:val="auto"/>
          <w:kern w:val="28"/>
          <w:sz w:val="24"/>
          <w:szCs w:val="32"/>
          <w:lang w:val="en-US" w:eastAsia="zh-CN" w:bidi="ar-SA"/>
        </w:rPr>
        <w:t>25</w:t>
      </w:r>
      <w:r>
        <w:rPr>
          <w:rFonts w:hint="default" w:ascii="Times New Roman" w:hAnsi="Times New Roman" w:cs="Times New Roman"/>
          <w:bCs/>
          <w:color w:val="auto"/>
          <w:kern w:val="28"/>
          <w:sz w:val="24"/>
          <w:szCs w:val="32"/>
          <w:lang w:eastAsia="zh-CN" w:bidi="ar-SA"/>
        </w:rPr>
        <w:t>）℃。</w:t>
      </w:r>
    </w:p>
    <w:p>
      <w:pPr>
        <w:pStyle w:val="110"/>
        <w:keepNext w:val="0"/>
        <w:keepLines w:val="0"/>
        <w:pageBreakBefore w:val="0"/>
        <w:kinsoku/>
        <w:wordWrap/>
        <w:overflowPunct/>
        <w:topLinePunct w:val="0"/>
        <w:bidi w:val="0"/>
        <w:snapToGrid w:val="0"/>
        <w:spacing w:line="360" w:lineRule="auto"/>
        <w:ind w:left="0" w:firstLine="0"/>
        <w:contextualSpacing w:val="0"/>
        <w:textAlignment w:val="auto"/>
        <w:rPr>
          <w:rFonts w:hint="default" w:ascii="Times New Roman" w:hAnsi="Times New Roman" w:cs="Times New Roman"/>
          <w:bCs/>
          <w:color w:val="auto"/>
          <w:kern w:val="28"/>
          <w:sz w:val="24"/>
          <w:szCs w:val="32"/>
          <w:lang w:eastAsia="zh-CN" w:bidi="ar-SA"/>
        </w:rPr>
      </w:pPr>
      <w:r>
        <w:rPr>
          <w:rFonts w:hint="default" w:ascii="Times New Roman" w:hAnsi="Times New Roman" w:cs="Times New Roman"/>
          <w:bCs/>
          <w:color w:val="auto"/>
          <w:kern w:val="28"/>
          <w:sz w:val="24"/>
          <w:szCs w:val="32"/>
          <w:lang w:eastAsia="zh-CN" w:bidi="ar-SA"/>
        </w:rPr>
        <w:t>6.1.2</w:t>
      </w:r>
      <w:r>
        <w:rPr>
          <w:rFonts w:hint="default" w:ascii="Times New Roman" w:hAnsi="Times New Roman" w:cs="Times New Roman"/>
          <w:bCs/>
          <w:color w:val="auto"/>
          <w:kern w:val="28"/>
          <w:sz w:val="24"/>
          <w:szCs w:val="32"/>
          <w:lang w:val="en-US" w:eastAsia="zh-CN" w:bidi="ar-SA"/>
        </w:rPr>
        <w:t xml:space="preserve"> </w:t>
      </w:r>
      <w:r>
        <w:rPr>
          <w:rFonts w:hint="default" w:ascii="Times New Roman" w:hAnsi="Times New Roman" w:cs="Times New Roman"/>
          <w:bCs/>
          <w:color w:val="auto"/>
          <w:kern w:val="28"/>
          <w:sz w:val="24"/>
          <w:szCs w:val="32"/>
          <w:lang w:eastAsia="zh-CN" w:bidi="ar-SA"/>
        </w:rPr>
        <w:t>相对湿度：（</w:t>
      </w:r>
      <w:r>
        <w:rPr>
          <w:rFonts w:hint="default" w:ascii="Times New Roman" w:hAnsi="Times New Roman" w:cs="Times New Roman"/>
          <w:bCs/>
          <w:color w:val="auto"/>
          <w:kern w:val="28"/>
          <w:sz w:val="24"/>
          <w:szCs w:val="32"/>
          <w:lang w:val="en-US" w:eastAsia="zh-CN" w:bidi="ar-SA"/>
        </w:rPr>
        <w:t>30</w:t>
      </w:r>
      <w:r>
        <w:rPr>
          <w:rFonts w:hint="default" w:ascii="Times New Roman" w:hAnsi="Times New Roman" w:cs="Times New Roman"/>
          <w:bCs/>
          <w:color w:val="auto"/>
          <w:kern w:val="28"/>
          <w:sz w:val="24"/>
          <w:szCs w:val="32"/>
          <w:lang w:eastAsia="zh-CN" w:bidi="ar-SA"/>
        </w:rPr>
        <w:t>～</w:t>
      </w:r>
      <w:r>
        <w:rPr>
          <w:rFonts w:hint="default" w:ascii="Times New Roman" w:hAnsi="Times New Roman" w:cs="Times New Roman"/>
          <w:bCs/>
          <w:color w:val="auto"/>
          <w:kern w:val="28"/>
          <w:sz w:val="24"/>
          <w:szCs w:val="32"/>
          <w:lang w:val="en-US" w:eastAsia="zh-CN" w:bidi="ar-SA"/>
        </w:rPr>
        <w:t>7</w:t>
      </w:r>
      <w:r>
        <w:rPr>
          <w:rFonts w:hint="default" w:ascii="Times New Roman" w:hAnsi="Times New Roman" w:cs="Times New Roman"/>
          <w:bCs/>
          <w:color w:val="auto"/>
          <w:kern w:val="28"/>
          <w:sz w:val="24"/>
          <w:szCs w:val="32"/>
          <w:lang w:eastAsia="zh-CN" w:bidi="ar-SA"/>
        </w:rPr>
        <w:t>5)</w:t>
      </w:r>
      <w:r>
        <w:rPr>
          <w:rFonts w:hint="default" w:ascii="Times New Roman" w:hAnsi="Times New Roman" w:cs="Times New Roman"/>
          <w:color w:val="auto"/>
          <w:sz w:val="21"/>
          <w:szCs w:val="21"/>
          <w:lang w:eastAsia="zh-CN"/>
        </w:rPr>
        <w:t xml:space="preserve"> </w:t>
      </w:r>
      <w:r>
        <w:rPr>
          <w:rFonts w:hint="default" w:ascii="Times New Roman" w:hAnsi="Times New Roman" w:cs="Times New Roman"/>
          <w:bCs/>
          <w:color w:val="auto"/>
          <w:kern w:val="28"/>
          <w:sz w:val="24"/>
          <w:szCs w:val="32"/>
          <w:lang w:eastAsia="zh-CN" w:bidi="ar-SA"/>
        </w:rPr>
        <w:t>%。</w:t>
      </w:r>
    </w:p>
    <w:p>
      <w:pPr>
        <w:pStyle w:val="110"/>
        <w:keepNext w:val="0"/>
        <w:keepLines w:val="0"/>
        <w:pageBreakBefore w:val="0"/>
        <w:kinsoku/>
        <w:wordWrap/>
        <w:overflowPunct/>
        <w:topLinePunct w:val="0"/>
        <w:bidi w:val="0"/>
        <w:snapToGrid w:val="0"/>
        <w:spacing w:line="360" w:lineRule="auto"/>
        <w:ind w:left="0" w:firstLine="0"/>
        <w:contextualSpacing w:val="0"/>
        <w:textAlignment w:val="auto"/>
        <w:rPr>
          <w:rFonts w:hint="default" w:ascii="Times New Roman" w:hAnsi="Times New Roman" w:cs="Times New Roman"/>
          <w:color w:val="auto"/>
          <w:sz w:val="24"/>
        </w:rPr>
      </w:pPr>
      <w:r>
        <w:rPr>
          <w:rFonts w:hint="default" w:ascii="Times New Roman" w:hAnsi="Times New Roman" w:cs="Times New Roman"/>
          <w:bCs/>
          <w:color w:val="auto"/>
          <w:kern w:val="28"/>
          <w:sz w:val="24"/>
          <w:szCs w:val="32"/>
          <w:lang w:val="en-US" w:eastAsia="zh-CN" w:bidi="ar-SA"/>
        </w:rPr>
        <w:t xml:space="preserve">6.1.3 </w:t>
      </w:r>
      <w:r>
        <w:rPr>
          <w:rFonts w:hint="default" w:ascii="Times New Roman" w:hAnsi="Times New Roman" w:cs="Times New Roman"/>
          <w:color w:val="auto"/>
          <w:sz w:val="24"/>
        </w:rPr>
        <w:t>气压：（80～106）kPa。</w:t>
      </w:r>
    </w:p>
    <w:p>
      <w:pPr>
        <w:pStyle w:val="110"/>
        <w:keepNext w:val="0"/>
        <w:keepLines w:val="0"/>
        <w:pageBreakBefore w:val="0"/>
        <w:kinsoku/>
        <w:wordWrap/>
        <w:overflowPunct/>
        <w:topLinePunct w:val="0"/>
        <w:bidi w:val="0"/>
        <w:snapToGrid w:val="0"/>
        <w:spacing w:line="360" w:lineRule="auto"/>
        <w:ind w:left="0" w:firstLine="0"/>
        <w:contextualSpacing w:val="0"/>
        <w:textAlignment w:val="auto"/>
        <w:rPr>
          <w:rFonts w:hint="default" w:ascii="Times New Roman" w:hAnsi="Times New Roman" w:cs="Times New Roman"/>
          <w:bCs/>
          <w:color w:val="auto"/>
          <w:kern w:val="28"/>
          <w:sz w:val="24"/>
          <w:szCs w:val="32"/>
          <w:lang w:eastAsia="zh-CN" w:bidi="ar-SA"/>
        </w:rPr>
      </w:pPr>
      <w:r>
        <w:rPr>
          <w:rFonts w:hint="default" w:ascii="Times New Roman" w:hAnsi="Times New Roman" w:cs="Times New Roman"/>
          <w:bCs/>
          <w:color w:val="auto"/>
          <w:kern w:val="28"/>
          <w:sz w:val="24"/>
          <w:szCs w:val="32"/>
          <w:lang w:eastAsia="zh-CN" w:bidi="ar-SA"/>
        </w:rPr>
        <w:t>6.1.</w:t>
      </w:r>
      <w:r>
        <w:rPr>
          <w:rFonts w:hint="default" w:ascii="Times New Roman" w:hAnsi="Times New Roman" w:cs="Times New Roman"/>
          <w:bCs/>
          <w:color w:val="auto"/>
          <w:kern w:val="28"/>
          <w:sz w:val="24"/>
          <w:szCs w:val="32"/>
          <w:lang w:val="en-US" w:eastAsia="zh-CN" w:bidi="ar-SA"/>
        </w:rPr>
        <w:t xml:space="preserve">4 </w:t>
      </w:r>
      <w:r>
        <w:rPr>
          <w:rFonts w:hint="default" w:ascii="Times New Roman" w:hAnsi="Times New Roman" w:cs="Times New Roman"/>
          <w:bCs/>
          <w:color w:val="auto"/>
          <w:kern w:val="28"/>
          <w:sz w:val="24"/>
          <w:szCs w:val="32"/>
          <w:lang w:eastAsia="zh-CN" w:bidi="ar-SA"/>
        </w:rPr>
        <w:t>无明显影响校准结果的振动、电磁干扰。</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37" w:name="_Toc1906"/>
      <w:bookmarkStart w:id="138" w:name="_Toc373339097"/>
      <w:bookmarkStart w:id="139" w:name="_Toc373698941"/>
      <w:bookmarkStart w:id="140" w:name="_Toc146027209"/>
      <w:bookmarkStart w:id="141" w:name="_Toc17204"/>
      <w:r>
        <w:rPr>
          <w:rFonts w:hint="default" w:ascii="Times New Roman" w:hAnsi="Times New Roman" w:cs="Times New Roman"/>
          <w:color w:val="auto"/>
          <w:lang w:val="en-US" w:eastAsia="zh-CN"/>
        </w:rPr>
        <w:t>6.2  测量标准器及其他设备</w:t>
      </w:r>
      <w:bookmarkEnd w:id="137"/>
      <w:bookmarkEnd w:id="138"/>
      <w:bookmarkEnd w:id="139"/>
      <w:bookmarkEnd w:id="140"/>
      <w:bookmarkEnd w:id="141"/>
    </w:p>
    <w:p>
      <w:pPr>
        <w:keepNext w:val="0"/>
        <w:keepLines w:val="0"/>
        <w:pageBreakBefore w:val="0"/>
        <w:kinsoku/>
        <w:wordWrap/>
        <w:overflowPunct/>
        <w:topLinePunct w:val="0"/>
        <w:bidi w:val="0"/>
        <w:spacing w:line="360" w:lineRule="auto"/>
        <w:textAlignment w:val="auto"/>
        <w:rPr>
          <w:rFonts w:hint="default" w:ascii="Times New Roman" w:hAnsi="Times New Roman" w:eastAsia="宋体" w:cs="Times New Roman"/>
          <w:bCs/>
          <w:color w:val="auto"/>
          <w:kern w:val="28"/>
          <w:lang w:val="en-US" w:eastAsia="zh-CN"/>
        </w:rPr>
      </w:pPr>
      <w:r>
        <w:rPr>
          <w:rFonts w:hint="default" w:ascii="Times New Roman" w:hAnsi="Times New Roman" w:cs="Times New Roman"/>
          <w:bCs/>
          <w:color w:val="auto"/>
          <w:kern w:val="28"/>
        </w:rPr>
        <w:t>6.2.1便携式</w:t>
      </w:r>
      <w:r>
        <w:rPr>
          <w:rFonts w:hint="default" w:ascii="Times New Roman" w:hAnsi="Times New Roman" w:cs="Times New Roman"/>
          <w:bCs/>
          <w:color w:val="auto"/>
          <w:kern w:val="28"/>
          <w:lang w:val="en-US" w:eastAsia="zh-CN"/>
        </w:rPr>
        <w:t>可邮寄固体剂量计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Cs/>
          <w:color w:val="auto"/>
          <w:kern w:val="28"/>
          <w:sz w:val="18"/>
          <w:szCs w:val="18"/>
        </w:rPr>
      </w:pPr>
      <w:r>
        <w:rPr>
          <w:rFonts w:hint="eastAsia" w:cs="Times New Roman"/>
          <w:bCs/>
          <w:color w:val="auto"/>
          <w:kern w:val="28"/>
          <w:lang w:val="en-US" w:eastAsia="zh-CN"/>
        </w:rPr>
        <w:t>放射</w:t>
      </w:r>
      <w:r>
        <w:rPr>
          <w:rFonts w:hint="default" w:ascii="Times New Roman" w:hAnsi="Times New Roman" w:cs="Times New Roman"/>
          <w:bCs/>
          <w:color w:val="auto"/>
          <w:kern w:val="28"/>
          <w:lang w:val="en-US" w:eastAsia="zh-CN"/>
        </w:rPr>
        <w:t>治疗用</w:t>
      </w:r>
      <w:r>
        <w:rPr>
          <w:rFonts w:hint="default" w:ascii="Times New Roman" w:hAnsi="Times New Roman" w:cs="Times New Roman"/>
          <w:color w:val="auto"/>
          <w:lang w:val="en-US" w:eastAsia="zh-CN"/>
        </w:rPr>
        <w:t>固体剂量计，包括丙氨酸剂量计、光致发光剂量计和热释光剂量计</w:t>
      </w:r>
      <w:r>
        <w:rPr>
          <w:rFonts w:hint="default" w:ascii="Times New Roman" w:hAnsi="Times New Roman" w:cs="Times New Roman"/>
          <w:bCs/>
          <w:color w:val="auto"/>
          <w:kern w:val="28"/>
        </w:rPr>
        <w:t>。</w:t>
      </w:r>
    </w:p>
    <w:p>
      <w:pPr>
        <w:keepNext w:val="0"/>
        <w:keepLines w:val="0"/>
        <w:pageBreakBefore w:val="0"/>
        <w:kinsoku/>
        <w:wordWrap/>
        <w:overflowPunct/>
        <w:topLinePunct w:val="0"/>
        <w:bidi w:val="0"/>
        <w:spacing w:line="360" w:lineRule="auto"/>
        <w:textAlignment w:val="auto"/>
        <w:rPr>
          <w:rFonts w:hint="default" w:ascii="Times New Roman" w:hAnsi="Times New Roman" w:eastAsia="宋体" w:cs="Times New Roman"/>
          <w:bCs/>
          <w:color w:val="auto"/>
          <w:kern w:val="28"/>
          <w:szCs w:val="32"/>
          <w:lang w:val="en-US" w:eastAsia="zh-CN"/>
        </w:rPr>
      </w:pPr>
      <w:r>
        <w:rPr>
          <w:rFonts w:hint="default" w:ascii="Times New Roman" w:hAnsi="Times New Roman" w:cs="Times New Roman"/>
          <w:bCs/>
          <w:color w:val="auto"/>
          <w:kern w:val="28"/>
          <w:szCs w:val="32"/>
        </w:rPr>
        <w:t>6.2.2</w:t>
      </w:r>
      <w:r>
        <w:rPr>
          <w:rFonts w:hint="default" w:ascii="Times New Roman" w:hAnsi="Times New Roman" w:cs="Times New Roman"/>
          <w:bCs/>
          <w:color w:val="auto"/>
          <w:kern w:val="28"/>
          <w:szCs w:val="32"/>
          <w:lang w:val="en-US" w:eastAsia="zh-CN"/>
        </w:rPr>
        <w:t>校准用水模体或水等效模体</w:t>
      </w:r>
    </w:p>
    <w:p>
      <w:pPr>
        <w:keepNext w:val="0"/>
        <w:keepLines w:val="0"/>
        <w:pageBreakBefore w:val="0"/>
        <w:kinsoku/>
        <w:wordWrap/>
        <w:overflowPunct/>
        <w:topLinePunct w:val="0"/>
        <w:bidi w:val="0"/>
        <w:spacing w:line="360" w:lineRule="auto"/>
        <w:ind w:firstLine="480" w:firstLineChars="200"/>
        <w:textAlignment w:val="auto"/>
        <w:rPr>
          <w:rFonts w:hint="default" w:ascii="Times New Roman" w:hAnsi="Times New Roman" w:eastAsia="宋体" w:cs="Times New Roman"/>
          <w:bCs/>
          <w:color w:val="auto"/>
          <w:kern w:val="28"/>
          <w:lang w:val="en-US" w:eastAsia="zh-CN"/>
        </w:rPr>
      </w:pPr>
      <w:r>
        <w:rPr>
          <w:rFonts w:hint="default" w:ascii="Times New Roman" w:hAnsi="Times New Roman" w:cs="Times New Roman"/>
          <w:bCs/>
          <w:color w:val="auto"/>
          <w:kern w:val="28"/>
          <w:lang w:val="en-US" w:eastAsia="zh-CN"/>
        </w:rPr>
        <w:t>a）被校准单位绝对剂量质控用水模体或经过校准或交叉校准的水等校模体；或b）校准组织单位提供的邮寄校准专用水模体。</w:t>
      </w:r>
    </w:p>
    <w:p>
      <w:pPr>
        <w:pStyle w:val="3"/>
        <w:numPr>
          <w:ilvl w:val="0"/>
          <w:numId w:val="0"/>
        </w:numPr>
        <w:snapToGrid w:val="0"/>
        <w:spacing w:before="312" w:beforeLines="100" w:after="156" w:afterLines="50" w:line="360" w:lineRule="auto"/>
        <w:ind w:right="240"/>
        <w:rPr>
          <w:rFonts w:hint="default" w:ascii="Times New Roman" w:hAnsi="Times New Roman" w:cs="Times New Roman"/>
          <w:b w:val="0"/>
          <w:color w:val="auto"/>
        </w:rPr>
      </w:pPr>
      <w:bookmarkStart w:id="142" w:name="_Toc373698942"/>
      <w:bookmarkStart w:id="143" w:name="_Toc4058"/>
      <w:bookmarkStart w:id="144" w:name="_Toc373339098"/>
      <w:bookmarkStart w:id="145" w:name="_Toc19141"/>
      <w:bookmarkStart w:id="146" w:name="_Toc29812"/>
      <w:bookmarkStart w:id="147" w:name="_Toc146027210"/>
      <w:bookmarkStart w:id="148" w:name="_Toc21325"/>
      <w:r>
        <w:rPr>
          <w:rFonts w:hint="default" w:ascii="Times New Roman" w:hAnsi="Times New Roman" w:cs="Times New Roman"/>
          <w:b w:val="0"/>
          <w:color w:val="auto"/>
        </w:rPr>
        <w:t xml:space="preserve">7  </w:t>
      </w:r>
      <w:r>
        <w:rPr>
          <w:rFonts w:hint="default" w:ascii="Times New Roman" w:hAnsi="Times New Roman" w:cs="Times New Roman"/>
          <w:b w:val="0"/>
          <w:color w:val="auto"/>
          <w:lang w:val="en-US" w:eastAsia="zh-CN"/>
        </w:rPr>
        <w:t>校准项目和校准</w:t>
      </w:r>
      <w:r>
        <w:rPr>
          <w:rFonts w:hint="default" w:ascii="Times New Roman" w:hAnsi="Times New Roman" w:cs="Times New Roman"/>
          <w:b w:val="0"/>
          <w:color w:val="auto"/>
        </w:rPr>
        <w:t>方法</w:t>
      </w:r>
      <w:bookmarkEnd w:id="142"/>
      <w:bookmarkEnd w:id="143"/>
      <w:bookmarkEnd w:id="144"/>
      <w:bookmarkEnd w:id="145"/>
      <w:bookmarkEnd w:id="146"/>
      <w:bookmarkEnd w:id="147"/>
      <w:bookmarkEnd w:id="148"/>
      <w:bookmarkStart w:id="149" w:name="_Toc373698945"/>
      <w:bookmarkStart w:id="150" w:name="_Toc373339102"/>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51" w:name="_Toc21692"/>
      <w:bookmarkStart w:id="152" w:name="_Toc146027211"/>
      <w:bookmarkStart w:id="153" w:name="_Toc26246"/>
      <w:bookmarkStart w:id="154" w:name="_Toc5081"/>
      <w:bookmarkStart w:id="155" w:name="_Toc11928"/>
      <w:r>
        <w:rPr>
          <w:rFonts w:hint="default" w:ascii="Times New Roman" w:hAnsi="Times New Roman" w:cs="Times New Roman"/>
          <w:color w:val="auto"/>
          <w:lang w:val="en-US" w:eastAsia="zh-CN"/>
        </w:rPr>
        <w:t>7.1 校准项目</w:t>
      </w:r>
      <w:bookmarkEnd w:id="15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vertAlign w:val="baseline"/>
          <w:lang w:val="en-US" w:eastAsia="zh-CN"/>
        </w:rPr>
        <w:t>固体剂量计的</w:t>
      </w:r>
      <w:r>
        <w:rPr>
          <w:rFonts w:hint="eastAsia" w:cs="Times New Roman"/>
          <w:color w:val="auto"/>
          <w:vertAlign w:val="baseline"/>
          <w:lang w:val="en-US" w:eastAsia="zh-CN"/>
        </w:rPr>
        <w:t>放疗</w:t>
      </w:r>
      <w:r>
        <w:rPr>
          <w:rFonts w:hint="default" w:ascii="Times New Roman" w:hAnsi="Times New Roman" w:cs="Times New Roman"/>
          <w:color w:val="auto"/>
          <w:vertAlign w:val="baseline"/>
          <w:lang w:val="en-US" w:eastAsia="zh-CN"/>
        </w:rPr>
        <w:t>束校准项目包括</w:t>
      </w:r>
      <w:r>
        <w:rPr>
          <w:rFonts w:hint="default" w:ascii="Times New Roman" w:hAnsi="Times New Roman" w:cs="Times New Roman"/>
          <w:color w:val="auto"/>
          <w:vertAlign w:val="superscript"/>
          <w:lang w:val="en-US" w:eastAsia="zh-CN"/>
        </w:rPr>
        <w:t>60</w:t>
      </w:r>
      <w:r>
        <w:rPr>
          <w:rFonts w:hint="default" w:ascii="Times New Roman" w:hAnsi="Times New Roman" w:cs="Times New Roman"/>
          <w:color w:val="auto"/>
          <w:lang w:val="en-US" w:eastAsia="zh-CN"/>
        </w:rPr>
        <w:t>Co远距离治疗机（γ射线）、医用电子直线加速器（高能光子束和电子束）和</w:t>
      </w:r>
      <w:r>
        <w:rPr>
          <w:rFonts w:hint="eastAsia" w:cs="Times New Roman"/>
          <w:color w:val="auto"/>
          <w:lang w:val="en-US" w:eastAsia="zh-CN"/>
        </w:rPr>
        <w:t>轻离子</w:t>
      </w:r>
      <w:r>
        <w:rPr>
          <w:rFonts w:hint="default" w:ascii="Times New Roman" w:hAnsi="Times New Roman" w:cs="Times New Roman"/>
          <w:color w:val="auto"/>
          <w:lang w:val="en-US" w:eastAsia="zh-CN"/>
        </w:rPr>
        <w:t>质子放射治疗系统（碳离子束和质子束）的水吸收剂量校准。校准项目对应的不确定度范围如表2所示：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lang w:val="en-US" w:eastAsia="zh-CN"/>
        </w:rPr>
      </w:pPr>
    </w:p>
    <w:p>
      <w:pPr>
        <w:spacing w:line="360" w:lineRule="auto"/>
        <w:jc w:val="center"/>
        <w:rPr>
          <w:rFonts w:hint="default" w:ascii="Times New Roman" w:hAnsi="Times New Roman" w:eastAsia="黑体" w:cs="Times New Roman"/>
          <w:color w:val="auto"/>
          <w:szCs w:val="21"/>
          <w:lang w:val="en-US" w:eastAsia="zh-CN"/>
        </w:rPr>
      </w:pPr>
      <w:r>
        <w:rPr>
          <w:rFonts w:hint="default" w:ascii="Times New Roman" w:hAnsi="Times New Roman" w:eastAsia="黑体" w:cs="Times New Roman"/>
          <w:color w:val="auto"/>
          <w:szCs w:val="21"/>
          <w:lang w:val="en-US" w:eastAsia="zh-CN"/>
        </w:rPr>
        <w:t>表2 校准项目</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3218"/>
        <w:gridCol w:w="2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项目序号</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放疗束类型</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校准不确定度范围（</w:t>
            </w:r>
            <w:r>
              <w:rPr>
                <w:rFonts w:hint="default" w:ascii="Times New Roman" w:hAnsi="Times New Roman" w:cs="Times New Roman"/>
                <w:i/>
                <w:iCs/>
                <w:color w:val="auto"/>
                <w:vertAlign w:val="baseline"/>
                <w:lang w:val="en-US" w:eastAsia="zh-CN"/>
              </w:rPr>
              <w:t>k</w:t>
            </w:r>
            <w:r>
              <w:rPr>
                <w:rFonts w:hint="default" w:ascii="Times New Roman" w:hAnsi="Times New Roman" w:cs="Times New Roman"/>
                <w:color w:val="auto"/>
                <w:vertAlign w:val="baseline"/>
                <w:lang w:val="en-US" w:eastAsia="zh-CN"/>
              </w:rPr>
              <w:t>=</w:t>
            </w:r>
            <w:r>
              <w:rPr>
                <w:rFonts w:hint="eastAsia" w:cs="Times New Roman"/>
                <w:color w:val="auto"/>
                <w:vertAlign w:val="baseline"/>
                <w:lang w:val="en-US" w:eastAsia="zh-CN"/>
              </w:rPr>
              <w:t>1</w:t>
            </w:r>
            <w:r>
              <w:rPr>
                <w:rFonts w:hint="default" w:ascii="Times New Roman" w:hAnsi="Times New Roman" w:cs="Times New Roman"/>
                <w:color w:val="auto"/>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1</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superscript"/>
                <w:lang w:val="en-US" w:eastAsia="zh-CN"/>
              </w:rPr>
              <w:t>60</w:t>
            </w:r>
            <w:r>
              <w:rPr>
                <w:rFonts w:hint="default" w:ascii="Times New Roman" w:hAnsi="Times New Roman" w:cs="Times New Roman"/>
                <w:color w:val="auto"/>
                <w:lang w:val="en-US" w:eastAsia="zh-CN"/>
              </w:rPr>
              <w:t>Co远距离治疗机（γ射线）</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w:t>
            </w:r>
            <w:r>
              <w:rPr>
                <w:rFonts w:hint="eastAsia" w:cs="Times New Roman"/>
                <w:color w:val="auto"/>
                <w:vertAlign w:val="baseline"/>
                <w:lang w:val="en-US" w:eastAsia="zh-CN"/>
              </w:rPr>
              <w:t>3</w:t>
            </w:r>
            <w:r>
              <w:rPr>
                <w:rFonts w:hint="default" w:ascii="Times New Roman" w:hAnsi="Times New Roman" w:cs="Times New Roman"/>
                <w:color w:val="auto"/>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2</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高能光子治疗束</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w:t>
            </w:r>
            <w:r>
              <w:rPr>
                <w:rFonts w:hint="eastAsia" w:cs="Times New Roman"/>
                <w:color w:val="auto"/>
                <w:vertAlign w:val="baseline"/>
                <w:lang w:val="en-US" w:eastAsia="zh-CN"/>
              </w:rPr>
              <w:t>4</w:t>
            </w:r>
            <w:r>
              <w:rPr>
                <w:rFonts w:hint="default" w:ascii="Times New Roman" w:hAnsi="Times New Roman" w:cs="Times New Roman"/>
                <w:color w:val="auto"/>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3</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高能电子治疗束</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w:t>
            </w:r>
            <w:r>
              <w:rPr>
                <w:rFonts w:hint="eastAsia" w:cs="Times New Roman"/>
                <w:color w:val="auto"/>
                <w:vertAlign w:val="baseline"/>
                <w:lang w:val="en-US" w:eastAsia="zh-CN"/>
              </w:rPr>
              <w:t>4</w:t>
            </w:r>
            <w:r>
              <w:rPr>
                <w:rFonts w:hint="default" w:ascii="Times New Roman" w:hAnsi="Times New Roman" w:cs="Times New Roman"/>
                <w:color w:val="auto"/>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4</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碳离子治疗束</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w:t>
            </w:r>
            <w:r>
              <w:rPr>
                <w:rFonts w:hint="eastAsia" w:cs="Times New Roman"/>
                <w:color w:val="auto"/>
                <w:vertAlign w:val="baseline"/>
                <w:lang w:val="en-US" w:eastAsia="zh-CN"/>
              </w:rPr>
              <w:t>6</w:t>
            </w:r>
            <w:r>
              <w:rPr>
                <w:rFonts w:hint="default" w:ascii="Times New Roman" w:hAnsi="Times New Roman" w:cs="Times New Roman"/>
                <w:color w:val="auto"/>
                <w:vertAlign w:val="baseli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5</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质子治疗束</w:t>
            </w:r>
          </w:p>
        </w:tc>
        <w:tc>
          <w:tcPr>
            <w:tcW w:w="0" w:type="auto"/>
          </w:tcPr>
          <w:p>
            <w:pPr>
              <w:keepNext w:val="0"/>
              <w:keepLines w:val="0"/>
              <w:pageBreakBefore w:val="0"/>
              <w:widowControl w:val="0"/>
              <w:kinsoku/>
              <w:wordWrap/>
              <w:overflowPunct/>
              <w:topLinePunct w:val="0"/>
              <w:bidi w:val="0"/>
              <w:spacing w:line="360" w:lineRule="auto"/>
              <w:jc w:val="center"/>
              <w:textAlignment w:val="auto"/>
              <w:rPr>
                <w:rFonts w:hint="default" w:ascii="Times New Roman" w:hAnsi="Times New Roman" w:cs="Times New Roman"/>
                <w:color w:val="auto"/>
                <w:vertAlign w:val="baseline"/>
                <w:lang w:val="en-US" w:eastAsia="zh-CN"/>
              </w:rPr>
            </w:pPr>
            <w:r>
              <w:rPr>
                <w:rFonts w:hint="default" w:ascii="Times New Roman" w:hAnsi="Times New Roman" w:cs="Times New Roman"/>
                <w:color w:val="auto"/>
                <w:vertAlign w:val="baseline"/>
                <w:lang w:val="en-US" w:eastAsia="zh-CN"/>
              </w:rPr>
              <w:t>≤</w:t>
            </w:r>
            <w:r>
              <w:rPr>
                <w:rFonts w:hint="eastAsia" w:cs="Times New Roman"/>
                <w:color w:val="auto"/>
                <w:vertAlign w:val="baseline"/>
                <w:lang w:val="en-US" w:eastAsia="zh-CN"/>
              </w:rPr>
              <w:t>5</w:t>
            </w:r>
            <w:r>
              <w:rPr>
                <w:rFonts w:hint="default" w:ascii="Times New Roman" w:hAnsi="Times New Roman" w:cs="Times New Roman"/>
                <w:color w:val="auto"/>
                <w:vertAlign w:val="baseline"/>
                <w:lang w:val="en-US" w:eastAsia="zh-CN"/>
              </w:rPr>
              <w:t>.0%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56" w:name="_Toc10567"/>
      <w:r>
        <w:rPr>
          <w:rFonts w:hint="default" w:ascii="Times New Roman" w:hAnsi="Times New Roman" w:cs="Times New Roman"/>
          <w:color w:val="auto"/>
          <w:lang w:val="en-US" w:eastAsia="zh-CN"/>
        </w:rPr>
        <w:t>7.2 校准方法</w:t>
      </w:r>
      <w:bookmarkEnd w:id="156"/>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57" w:name="_Toc5892"/>
      <w:bookmarkStart w:id="158" w:name="_Toc28922"/>
      <w:r>
        <w:rPr>
          <w:rFonts w:hint="default" w:ascii="Times New Roman" w:hAnsi="Times New Roman" w:cs="Times New Roman"/>
          <w:color w:val="auto"/>
          <w:lang w:val="en-US" w:eastAsia="zh-CN"/>
        </w:rPr>
        <w:t>7.</w:t>
      </w:r>
      <w:bookmarkEnd w:id="149"/>
      <w:bookmarkEnd w:id="150"/>
      <w:r>
        <w:rPr>
          <w:rFonts w:hint="default" w:ascii="Times New Roman" w:hAnsi="Times New Roman" w:cs="Times New Roman"/>
          <w:color w:val="auto"/>
          <w:lang w:val="en-US" w:eastAsia="zh-CN"/>
        </w:rPr>
        <w:t xml:space="preserve">2.1 </w:t>
      </w:r>
      <w:bookmarkEnd w:id="152"/>
      <w:bookmarkEnd w:id="153"/>
      <w:bookmarkEnd w:id="154"/>
      <w:bookmarkEnd w:id="155"/>
      <w:r>
        <w:rPr>
          <w:rFonts w:hint="default" w:ascii="Times New Roman" w:hAnsi="Times New Roman" w:cs="Times New Roman"/>
          <w:color w:val="auto"/>
          <w:lang w:val="en-US" w:eastAsia="zh-CN"/>
        </w:rPr>
        <w:t>将下列剂量检测器具邮寄至被校准单位</w:t>
      </w:r>
      <w:bookmarkEnd w:id="157"/>
      <w:bookmarkEnd w:id="15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rPr>
      </w:pPr>
      <w:r>
        <w:rPr>
          <w:rFonts w:hint="default" w:ascii="Times New Roman" w:hAnsi="Times New Roman" w:cs="Times New Roman"/>
          <w:color w:val="auto"/>
          <w:lang w:val="en-US" w:eastAsia="zh-CN"/>
        </w:rPr>
        <w:t>四组固体剂量计（三组供测量用，一组作跟踪本底测量）；一套具有固体剂量计适配孔或定位装置的水模体；纸质数据登记表一份</w:t>
      </w:r>
      <w:r>
        <w:rPr>
          <w:rFonts w:hint="default" w:ascii="Times New Roman" w:hAnsi="Times New Roman" w:cs="Times New Roman"/>
          <w:color w:val="auto"/>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59" w:name="_Toc19682"/>
      <w:r>
        <w:rPr>
          <w:rFonts w:hint="default" w:ascii="Times New Roman" w:hAnsi="Times New Roman" w:cs="Times New Roman"/>
          <w:color w:val="auto"/>
          <w:lang w:val="en-US" w:eastAsia="zh-CN"/>
        </w:rPr>
        <w:t>7.2.2 校准前的准备</w:t>
      </w:r>
      <w:bookmarkEnd w:id="15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辐照前应检查待校准放射治疗设备的光射野一致性。放射治疗设备辐射野应选择或设置为10 cm×10 cm，源距离水模体表面距离（SSD）设置为100 cm，</w:t>
      </w:r>
      <w:r>
        <w:rPr>
          <w:rFonts w:hint="eastAsia" w:cs="Times New Roman"/>
          <w:color w:val="auto"/>
          <w:vertAlign w:val="superscript"/>
          <w:lang w:val="en-US" w:eastAsia="zh-CN"/>
        </w:rPr>
        <w:t>60</w:t>
      </w:r>
      <w:r>
        <w:rPr>
          <w:rFonts w:hint="default" w:ascii="Times New Roman" w:hAnsi="Times New Roman" w:cs="Times New Roman"/>
          <w:color w:val="auto"/>
          <w:lang w:val="en-US" w:eastAsia="zh-CN"/>
        </w:rPr>
        <w:t>Co源一般设置为60 cm至80 cm，医用电子直线加速器辐射场可参考JJG589-2008 《医用电子加速器辐射源检定规程》，</w:t>
      </w:r>
      <w:r>
        <w:rPr>
          <w:rFonts w:hint="eastAsia" w:cs="Times New Roman"/>
          <w:color w:val="auto"/>
          <w:lang w:val="en-US" w:eastAsia="zh-CN"/>
        </w:rPr>
        <w:t>轻离子</w:t>
      </w:r>
      <w:r>
        <w:rPr>
          <w:rFonts w:hint="default" w:ascii="Times New Roman" w:hAnsi="Times New Roman" w:cs="Times New Roman"/>
          <w:color w:val="auto"/>
          <w:lang w:val="en-US" w:eastAsia="zh-CN"/>
        </w:rPr>
        <w:t>质子放射治疗系统可参考TRS-398《</w:t>
      </w:r>
      <w:r>
        <w:rPr>
          <w:rFonts w:hint="default" w:ascii="Times New Roman" w:hAnsi="Times New Roman" w:cs="Times New Roman"/>
          <w:color w:val="auto"/>
          <w:kern w:val="2"/>
          <w:sz w:val="24"/>
          <w:szCs w:val="24"/>
          <w:lang w:val="en-US" w:eastAsia="zh-CN" w:bidi="ar-SA"/>
        </w:rPr>
        <w:t>外照射放射治疗束吸收剂量测定：基于水吸收剂量标准的剂量测定国际实施规程</w:t>
      </w:r>
      <w:r>
        <w:rPr>
          <w:rFonts w:hint="default" w:ascii="Times New Roman" w:hAnsi="Times New Roman" w:cs="Times New Roman"/>
          <w:color w:val="auto"/>
          <w:lang w:val="en-US" w:eastAsia="zh-CN"/>
        </w:rPr>
        <w:t>》，</w:t>
      </w:r>
      <w:r>
        <w:rPr>
          <w:rFonts w:hint="default" w:ascii="Times New Roman" w:hAnsi="Times New Roman" w:cs="Times New Roman"/>
          <w:color w:val="auto"/>
          <w:lang w:val="en-US" w:eastAsia="zh-CN"/>
        </w:rPr>
        <w:t>或其他符合放疗剂量绝对测量条件。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60" w:name="_Toc10874"/>
      <w:r>
        <w:rPr>
          <w:rFonts w:hint="default" w:ascii="Times New Roman" w:hAnsi="Times New Roman" w:cs="Times New Roman"/>
          <w:color w:val="auto"/>
          <w:lang w:val="en-US" w:eastAsia="zh-CN"/>
        </w:rPr>
        <w:t>7.2.3 水模体或水等效模体和固体剂量计安装</w:t>
      </w:r>
      <w:bookmarkEnd w:id="160"/>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水模体置于治疗床或其他多维运动平台，依据治疗室等中心激光灯调整水模体位置。再将固体剂量计的适配孔或定位装置安装在水模体中，并使固体剂量计的测量点中心处于辐射野中心轴，且固体剂量计</w:t>
      </w:r>
      <w:r>
        <w:rPr>
          <w:rFonts w:hint="eastAsia" w:cs="Times New Roman"/>
          <w:color w:val="auto"/>
          <w:lang w:val="en-US" w:eastAsia="zh-CN"/>
        </w:rPr>
        <w:t>中心</w:t>
      </w:r>
      <w:r>
        <w:rPr>
          <w:rFonts w:hint="default" w:ascii="Times New Roman" w:hAnsi="Times New Roman" w:cs="Times New Roman"/>
          <w:color w:val="auto"/>
          <w:lang w:val="en-US" w:eastAsia="zh-CN"/>
        </w:rPr>
        <w:t>处于校准点</w:t>
      </w:r>
      <w:r>
        <w:rPr>
          <w:rFonts w:hint="default" w:ascii="Times New Roman" w:hAnsi="Times New Roman" w:cs="Times New Roman"/>
          <w:i/>
          <w:iCs/>
          <w:color w:val="auto"/>
          <w:highlight w:val="none"/>
          <w:lang w:val="en-US" w:eastAsia="zh-CN"/>
        </w:rPr>
        <w:t>d</w:t>
      </w:r>
      <w:r>
        <w:rPr>
          <w:rFonts w:hint="default" w:ascii="Times New Roman" w:hAnsi="Times New Roman" w:cs="Times New Roman"/>
          <w:color w:val="auto"/>
          <w:highlight w:val="none"/>
          <w:vertAlign w:val="subscript"/>
          <w:lang w:val="en-US" w:eastAsia="zh-CN"/>
        </w:rPr>
        <w:t>0</w:t>
      </w:r>
      <w:r>
        <w:rPr>
          <w:rFonts w:hint="eastAsia" w:cs="Times New Roman"/>
          <w:color w:val="auto"/>
          <w:highlight w:val="none"/>
          <w:lang w:val="en-US" w:eastAsia="zh-CN"/>
        </w:rPr>
        <w:t>处</w:t>
      </w:r>
      <w:r>
        <w:rPr>
          <w:rFonts w:hint="default" w:ascii="Times New Roman" w:hAnsi="Times New Roman" w:cs="Times New Roman"/>
          <w:color w:val="auto"/>
          <w:lang w:val="en-US" w:eastAsia="zh-CN"/>
        </w:rPr>
        <w:t>，再向水模体内注入适量的室温蒸馏水或去离子水。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61" w:name="_Toc24266"/>
      <w:r>
        <w:rPr>
          <w:rFonts w:hint="default" w:ascii="Times New Roman" w:hAnsi="Times New Roman" w:cs="Times New Roman"/>
          <w:color w:val="auto"/>
          <w:lang w:val="en-US" w:eastAsia="zh-CN"/>
        </w:rPr>
        <w:t>7.2.4 计算辐照时间或辐照装置束流设定值</w:t>
      </w:r>
      <w:bookmarkEnd w:id="161"/>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计算固体剂量计在校准点受到（0.5</w:t>
      </w:r>
      <w:r>
        <w:rPr>
          <w:rFonts w:hint="eastAsia" w:cs="Times New Roman"/>
          <w:color w:val="auto"/>
          <w:lang w:val="en-US" w:eastAsia="zh-CN"/>
        </w:rPr>
        <w:t>~</w:t>
      </w:r>
      <w:r>
        <w:rPr>
          <w:rFonts w:hint="default" w:ascii="Times New Roman" w:hAnsi="Times New Roman" w:cs="Times New Roman"/>
          <w:color w:val="auto"/>
          <w:lang w:val="en-US" w:eastAsia="zh-CN"/>
        </w:rPr>
        <w:t xml:space="preserve">12）Gy范围内特定剂量所需的监督单元（Monitor Unit </w:t>
      </w:r>
      <w:r>
        <w:rPr>
          <w:rFonts w:hint="eastAsia" w:cs="Times New Roman"/>
          <w:color w:val="auto"/>
          <w:lang w:val="en-US" w:eastAsia="zh-CN"/>
        </w:rPr>
        <w:t>/</w:t>
      </w:r>
      <w:r>
        <w:rPr>
          <w:rFonts w:hint="default" w:ascii="Times New Roman" w:hAnsi="Times New Roman" w:cs="Times New Roman"/>
          <w:color w:val="auto"/>
          <w:lang w:val="en-US" w:eastAsia="zh-CN"/>
        </w:rPr>
        <w:t>MU）值或辐射时间；也可以给定特定辐射监督单元或辐照时间，计算固体剂量计在校准点所受到的剂量值，且该剂量值应在（0.5</w:t>
      </w:r>
      <w:r>
        <w:rPr>
          <w:rFonts w:hint="eastAsia" w:cs="Times New Roman"/>
          <w:color w:val="auto"/>
          <w:lang w:val="en-US" w:eastAsia="zh-CN"/>
        </w:rPr>
        <w:t>~</w:t>
      </w:r>
      <w:r>
        <w:rPr>
          <w:rFonts w:hint="default" w:ascii="Times New Roman" w:hAnsi="Times New Roman" w:cs="Times New Roman"/>
          <w:color w:val="auto"/>
          <w:lang w:val="en-US" w:eastAsia="zh-CN"/>
        </w:rPr>
        <w:t>12）Gy范围内。</w:t>
      </w:r>
    </w:p>
    <w:p>
      <w:pPr>
        <w:keepNext w:val="0"/>
        <w:keepLines w:val="0"/>
        <w:pageBreakBefore w:val="0"/>
        <w:widowControl w:val="0"/>
        <w:kinsoku/>
        <w:wordWrap/>
        <w:overflowPunct/>
        <w:topLinePunct w:val="0"/>
        <w:autoSpaceDE w:val="0"/>
        <w:autoSpaceDN w:val="0"/>
        <w:bidi w:val="0"/>
        <w:adjustRightInd w:val="0"/>
        <w:snapToGrid/>
        <w:spacing w:line="360" w:lineRule="auto"/>
        <w:ind w:firstLine="360" w:firstLineChars="200"/>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eastAsia="黑体" w:cs="Times New Roman"/>
          <w:color w:val="auto"/>
          <w:kern w:val="0"/>
          <w:sz w:val="18"/>
          <w:szCs w:val="18"/>
          <w:lang w:val="en-US" w:eastAsia="zh-CN" w:bidi="ar-SA"/>
        </w:rPr>
        <w:t>注：</w:t>
      </w:r>
      <w:r>
        <w:rPr>
          <w:rFonts w:hint="default" w:ascii="Times New Roman" w:hAnsi="Times New Roman" w:cs="Times New Roman"/>
          <w:color w:val="auto"/>
          <w:kern w:val="0"/>
          <w:sz w:val="18"/>
          <w:szCs w:val="18"/>
          <w:lang w:val="en-US" w:eastAsia="zh-CN" w:bidi="ar-SA"/>
        </w:rPr>
        <w:t>特定剂量值需要根据所用固体剂量计的特性选择其较佳的剂量条件，如丙氨酸剂量计选用10 Gy、热释光剂量计选用2 Gy和光释光剂量计选用1 Gy</w:t>
      </w:r>
      <w:r>
        <w:rPr>
          <w:rFonts w:hint="eastAsia" w:cs="Times New Roman"/>
          <w:color w:val="auto"/>
          <w:kern w:val="0"/>
          <w:sz w:val="18"/>
          <w:szCs w:val="18"/>
          <w:lang w:val="en-US" w:eastAsia="zh-CN" w:bidi="ar-SA"/>
        </w:rPr>
        <w:t>等</w:t>
      </w:r>
      <w:r>
        <w:rPr>
          <w:rFonts w:hint="default" w:ascii="Times New Roman" w:hAnsi="Times New Roman" w:cs="Times New Roman"/>
          <w:color w:val="auto"/>
          <w:kern w:val="0"/>
          <w:sz w:val="18"/>
          <w:szCs w:val="18"/>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cs="Times New Roman"/>
          <w:color w:val="auto"/>
          <w:lang w:val="en-US" w:eastAsia="zh-CN"/>
        </w:rPr>
      </w:pPr>
      <w:bookmarkStart w:id="162" w:name="_Toc6398"/>
      <w:bookmarkStart w:id="163" w:name="_Toc11561"/>
      <w:bookmarkStart w:id="164" w:name="_Toc12499"/>
      <w:bookmarkStart w:id="165" w:name="_Toc146027212"/>
      <w:bookmarkStart w:id="166" w:name="_Toc14979"/>
      <w:r>
        <w:rPr>
          <w:rFonts w:hint="default" w:ascii="Times New Roman" w:hAnsi="Times New Roman" w:cs="Times New Roman"/>
          <w:color w:val="auto"/>
          <w:lang w:val="en-US" w:eastAsia="zh-CN"/>
        </w:rPr>
        <w:t>7.2</w:t>
      </w:r>
      <w:bookmarkEnd w:id="162"/>
      <w:bookmarkEnd w:id="163"/>
      <w:bookmarkEnd w:id="164"/>
      <w:bookmarkEnd w:id="165"/>
      <w:r>
        <w:rPr>
          <w:rFonts w:hint="default" w:ascii="Times New Roman" w:hAnsi="Times New Roman" w:cs="Times New Roman"/>
          <w:color w:val="auto"/>
          <w:lang w:val="en-US" w:eastAsia="zh-CN"/>
        </w:rPr>
        <w:t>.5 采用电离室剂量计进行剂量确认</w:t>
      </w:r>
      <w:bookmarkEnd w:id="16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color w:val="auto"/>
          <w:szCs w:val="24"/>
          <w:lang w:val="en-US" w:eastAsia="zh-CN"/>
        </w:rPr>
      </w:pPr>
      <w:r>
        <w:rPr>
          <w:rFonts w:hint="default" w:ascii="Times New Roman" w:hAnsi="Times New Roman" w:cs="Times New Roman"/>
          <w:b w:val="0"/>
          <w:bCs w:val="0"/>
          <w:color w:val="auto"/>
          <w:szCs w:val="24"/>
          <w:lang w:val="en-US" w:eastAsia="zh-CN"/>
        </w:rPr>
        <w:t>推荐待校准单位采用固体剂量计校准前，采用电离室剂量计进行绝对剂量测量或与固体剂量计同步交叉测量，确认放射治疗设备输送至固体剂量计的剂量值为目标剂量值，并将电离室剂量计所用修正因子等正确填入数据登记表中。</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default" w:ascii="Times New Roman" w:hAnsi="Times New Roman" w:cs="Times New Roman"/>
          <w:color w:val="auto"/>
          <w:kern w:val="0"/>
          <w:sz w:val="18"/>
          <w:szCs w:val="18"/>
          <w:lang w:val="en-US" w:eastAsia="zh-CN" w:bidi="ar-SA"/>
        </w:rPr>
      </w:pPr>
      <w:r>
        <w:rPr>
          <w:rFonts w:hint="default" w:ascii="Times New Roman" w:hAnsi="Times New Roman" w:eastAsia="黑体" w:cs="Times New Roman"/>
          <w:color w:val="auto"/>
          <w:kern w:val="0"/>
          <w:sz w:val="18"/>
          <w:szCs w:val="18"/>
          <w:lang w:val="en-US" w:eastAsia="zh-CN" w:bidi="ar-SA"/>
        </w:rPr>
        <w:t>注：</w:t>
      </w:r>
      <w:r>
        <w:rPr>
          <w:rFonts w:hint="default" w:ascii="Times New Roman" w:hAnsi="Times New Roman" w:cs="Times New Roman"/>
          <w:color w:val="auto"/>
          <w:kern w:val="0"/>
          <w:sz w:val="18"/>
          <w:szCs w:val="18"/>
          <w:lang w:val="en-US" w:eastAsia="zh-CN" w:bidi="ar-SA"/>
        </w:rPr>
        <w:t>电离室剂量计需在校准有效期内，电离室类型需要根据放射治疗设备射束类型和能量选择。</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67" w:name="_Toc23947"/>
      <w:r>
        <w:rPr>
          <w:rFonts w:hint="default" w:ascii="Times New Roman" w:hAnsi="Times New Roman" w:cs="Times New Roman"/>
          <w:color w:val="auto"/>
          <w:lang w:val="en-US" w:eastAsia="zh-CN"/>
        </w:rPr>
        <w:t>7.3 固体剂量计的辐照</w:t>
      </w:r>
      <w:bookmarkEnd w:id="167"/>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default" w:ascii="Times New Roman" w:hAnsi="Times New Roman" w:cs="Times New Roman"/>
          <w:color w:val="auto"/>
          <w:lang w:val="en-US" w:eastAsia="zh-CN"/>
        </w:rPr>
      </w:pPr>
      <w:r>
        <w:rPr>
          <w:rFonts w:hint="default" w:ascii="Times New Roman" w:hAnsi="Times New Roman" w:cs="Times New Roman"/>
          <w:color w:val="auto"/>
        </w:rPr>
        <w:t>7.</w:t>
      </w:r>
      <w:r>
        <w:rPr>
          <w:rFonts w:hint="default" w:ascii="Times New Roman" w:hAnsi="Times New Roman" w:cs="Times New Roman"/>
          <w:color w:val="auto"/>
          <w:lang w:val="en-US" w:eastAsia="zh-CN"/>
        </w:rPr>
        <w:t>3.1</w:t>
      </w:r>
      <w:r>
        <w:rPr>
          <w:rFonts w:hint="default" w:ascii="Times New Roman" w:hAnsi="Times New Roman" w:cs="Times New Roman"/>
          <w:color w:val="auto"/>
        </w:rPr>
        <w:t xml:space="preserve"> </w:t>
      </w:r>
      <w:r>
        <w:rPr>
          <w:rFonts w:hint="default" w:ascii="Times New Roman" w:hAnsi="Times New Roman" w:cs="Times New Roman"/>
          <w:color w:val="auto"/>
          <w:lang w:val="en-US" w:eastAsia="zh-CN"/>
        </w:rPr>
        <w:t>将一组固体剂量计安装在相应的适配孔或定位装置中，根据7.2.4项的辐照计划进行照射，照射完毕后将固体剂量计取出并与本底对照组一起妥善放置在治疗室外。</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default" w:ascii="Times New Roman" w:hAnsi="Times New Roman" w:cs="Times New Roman"/>
          <w:color w:val="auto"/>
          <w:lang w:val="en-US" w:eastAsia="zh-CN"/>
        </w:rPr>
      </w:pPr>
      <w:r>
        <w:rPr>
          <w:rFonts w:hint="default" w:ascii="Times New Roman" w:hAnsi="Times New Roman" w:cs="Times New Roman"/>
          <w:color w:val="auto"/>
        </w:rPr>
        <w:t>7.</w:t>
      </w:r>
      <w:r>
        <w:rPr>
          <w:rFonts w:hint="default" w:ascii="Times New Roman" w:hAnsi="Times New Roman" w:cs="Times New Roman"/>
          <w:color w:val="auto"/>
          <w:lang w:val="en-US" w:eastAsia="zh-CN"/>
        </w:rPr>
        <w:t>3.2</w:t>
      </w:r>
      <w:r>
        <w:rPr>
          <w:rFonts w:hint="default" w:ascii="Times New Roman" w:hAnsi="Times New Roman" w:cs="Times New Roman"/>
          <w:color w:val="auto"/>
        </w:rPr>
        <w:t xml:space="preserve"> </w:t>
      </w:r>
      <w:r>
        <w:rPr>
          <w:rFonts w:hint="default" w:ascii="Times New Roman" w:hAnsi="Times New Roman" w:cs="Times New Roman"/>
          <w:color w:val="auto"/>
          <w:lang w:val="en-US" w:eastAsia="zh-CN"/>
        </w:rPr>
        <w:t>对另外两组固体剂量计按照7.3.1过程进行辐照，并保持辐照定位条件和剂量值完全一致。</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default" w:ascii="Times New Roman" w:hAnsi="Times New Roman" w:cs="Times New Roman"/>
          <w:color w:val="auto"/>
          <w:lang w:val="en-US" w:eastAsia="zh-CN"/>
        </w:rPr>
      </w:pPr>
      <w:r>
        <w:rPr>
          <w:rFonts w:hint="default" w:ascii="Times New Roman" w:hAnsi="Times New Roman" w:cs="Times New Roman"/>
          <w:color w:val="auto"/>
        </w:rPr>
        <w:t>7.</w:t>
      </w:r>
      <w:r>
        <w:rPr>
          <w:rFonts w:hint="default" w:ascii="Times New Roman" w:hAnsi="Times New Roman" w:cs="Times New Roman"/>
          <w:color w:val="auto"/>
          <w:lang w:val="en-US" w:eastAsia="zh-CN"/>
        </w:rPr>
        <w:t>3.3</w:t>
      </w:r>
      <w:r>
        <w:rPr>
          <w:rFonts w:hint="default" w:ascii="Times New Roman" w:hAnsi="Times New Roman" w:cs="Times New Roman"/>
          <w:color w:val="auto"/>
        </w:rPr>
        <w:t xml:space="preserve"> </w:t>
      </w:r>
      <w:r>
        <w:rPr>
          <w:rFonts w:hint="default" w:ascii="Times New Roman" w:hAnsi="Times New Roman" w:cs="Times New Roman"/>
          <w:color w:val="auto"/>
          <w:lang w:val="en-US" w:eastAsia="zh-CN"/>
        </w:rPr>
        <w:t>最后一组作为本底对照组，不辐照。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68" w:name="_Toc12623"/>
      <w:r>
        <w:rPr>
          <w:rFonts w:hint="default" w:ascii="Times New Roman" w:hAnsi="Times New Roman" w:cs="Times New Roman"/>
          <w:color w:val="auto"/>
          <w:lang w:val="en-US" w:eastAsia="zh-CN"/>
        </w:rPr>
        <w:t>7.4 固体剂量计的寄回与读数</w:t>
      </w:r>
      <w:bookmarkEnd w:id="168"/>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color w:val="auto"/>
          <w:lang w:val="en-US" w:eastAsia="zh-CN"/>
        </w:rPr>
        <w:t>固体剂量计辐照完毕，将所有</w:t>
      </w:r>
      <w:r>
        <w:rPr>
          <w:rFonts w:hint="default" w:ascii="Times New Roman" w:hAnsi="Times New Roman" w:eastAsia="宋体" w:cs="Times New Roman"/>
          <w:b w:val="0"/>
          <w:bCs w:val="0"/>
          <w:color w:val="auto"/>
          <w:kern w:val="28"/>
          <w:szCs w:val="24"/>
          <w:lang w:val="en-US" w:eastAsia="zh-CN"/>
        </w:rPr>
        <w:t>剂量检测器具</w:t>
      </w:r>
      <w:r>
        <w:rPr>
          <w:rFonts w:hint="default" w:ascii="Times New Roman" w:hAnsi="Times New Roman" w:cs="Times New Roman"/>
          <w:b w:val="0"/>
          <w:bCs w:val="0"/>
          <w:color w:val="auto"/>
          <w:kern w:val="28"/>
          <w:szCs w:val="24"/>
          <w:lang w:val="en-US" w:eastAsia="zh-CN"/>
        </w:rPr>
        <w:t>和辐照过程的数据登记表，按期寄回组织校准单位。</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b w:val="0"/>
          <w:bCs w:val="0"/>
          <w:color w:val="auto"/>
          <w:kern w:val="28"/>
          <w:szCs w:val="24"/>
          <w:lang w:val="en-US" w:eastAsia="zh-CN"/>
        </w:rPr>
        <w:t>7.4.1 组织校准单位对寄回的固体剂量计进行数据测量。</w:t>
      </w:r>
    </w:p>
    <w:p>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b w:val="0"/>
          <w:bCs w:val="0"/>
          <w:color w:val="auto"/>
          <w:kern w:val="28"/>
          <w:szCs w:val="24"/>
          <w:lang w:val="en-US" w:eastAsia="zh-CN"/>
        </w:rPr>
        <w:t>7.4.2 根据被校准单位寄回的固体剂量计测量读数</w:t>
      </w:r>
      <w:r>
        <w:rPr>
          <w:rFonts w:hint="default" w:ascii="Times New Roman" w:hAnsi="Times New Roman" w:cs="Times New Roman"/>
          <w:b w:val="0"/>
          <w:bCs w:val="0"/>
          <w:i/>
          <w:iCs/>
          <w:color w:val="auto"/>
          <w:kern w:val="28"/>
          <w:szCs w:val="24"/>
          <w:lang w:val="en-US" w:eastAsia="zh-CN"/>
        </w:rPr>
        <w:t>x</w:t>
      </w:r>
      <w:r>
        <w:rPr>
          <w:rFonts w:hint="default" w:ascii="Times New Roman" w:hAnsi="Times New Roman" w:cs="Times New Roman"/>
          <w:b w:val="0"/>
          <w:bCs w:val="0"/>
          <w:color w:val="auto"/>
          <w:kern w:val="28"/>
          <w:szCs w:val="24"/>
          <w:lang w:val="en-US" w:eastAsia="zh-CN"/>
        </w:rPr>
        <w:t>值，代入式</w:t>
      </w:r>
      <w:r>
        <w:rPr>
          <w:rFonts w:hint="eastAsia" w:cs="Times New Roman"/>
          <w:b w:val="0"/>
          <w:bCs w:val="0"/>
          <w:color w:val="auto"/>
          <w:kern w:val="28"/>
          <w:szCs w:val="24"/>
          <w:lang w:val="en-US" w:eastAsia="zh-CN"/>
        </w:rPr>
        <w:t>（2）</w:t>
      </w:r>
      <w:r>
        <w:rPr>
          <w:rFonts w:hint="default" w:ascii="Times New Roman" w:hAnsi="Times New Roman" w:cs="Times New Roman"/>
          <w:b w:val="0"/>
          <w:bCs w:val="0"/>
          <w:color w:val="auto"/>
          <w:kern w:val="28"/>
          <w:szCs w:val="24"/>
          <w:lang w:val="en-US" w:eastAsia="zh-CN"/>
        </w:rPr>
        <w:t>，即求得被校准单位辐照是实际剂量值</w:t>
      </w:r>
      <w:r>
        <w:rPr>
          <w:rFonts w:hint="eastAsia" w:cs="Times New Roman"/>
          <w:b w:val="0"/>
          <w:bCs w:val="0"/>
          <w:i/>
          <w:iCs/>
          <w:color w:val="auto"/>
          <w:kern w:val="28"/>
          <w:szCs w:val="24"/>
          <w:lang w:val="en-US" w:eastAsia="zh-CN"/>
        </w:rPr>
        <w:t>y</w:t>
      </w:r>
      <w:r>
        <w:rPr>
          <w:rFonts w:hint="default" w:ascii="Times New Roman" w:hAnsi="Times New Roman" w:cs="Times New Roman"/>
          <w:b w:val="0"/>
          <w:bCs w:val="0"/>
          <w:color w:val="auto"/>
          <w:kern w:val="28"/>
          <w:szCs w:val="24"/>
          <w:lang w:val="en-US" w:eastAsia="zh-CN"/>
        </w:rPr>
        <w:t>（</w:t>
      </w:r>
      <w:r>
        <w:rPr>
          <w:rFonts w:hint="default" w:ascii="Times New Roman" w:hAnsi="Times New Roman" w:cs="Times New Roman"/>
          <w:b w:val="0"/>
          <w:bCs w:val="0"/>
          <w:i/>
          <w:iCs/>
          <w:color w:val="auto"/>
          <w:kern w:val="28"/>
          <w:szCs w:val="24"/>
          <w:lang w:val="en-US" w:eastAsia="zh-CN"/>
        </w:rPr>
        <w:t>D</w:t>
      </w:r>
      <w:r>
        <w:rPr>
          <w:rFonts w:hint="default" w:ascii="Times New Roman" w:hAnsi="Times New Roman" w:cs="Times New Roman"/>
          <w:b w:val="0"/>
          <w:bCs w:val="0"/>
          <w:color w:val="auto"/>
          <w:kern w:val="28"/>
          <w:szCs w:val="24"/>
          <w:vertAlign w:val="subscript"/>
          <w:lang w:val="en-US" w:eastAsia="zh-CN"/>
        </w:rPr>
        <w:t>0,</w:t>
      </w:r>
      <w:r>
        <w:rPr>
          <w:rFonts w:hint="default" w:ascii="Times New Roman" w:hAnsi="Times New Roman" w:cs="Times New Roman"/>
          <w:b w:val="0"/>
          <w:bCs w:val="0"/>
          <w:i/>
          <w:iCs/>
          <w:color w:val="auto"/>
          <w:kern w:val="28"/>
          <w:szCs w:val="24"/>
          <w:vertAlign w:val="subscript"/>
          <w:lang w:val="en-US" w:eastAsia="zh-CN"/>
        </w:rPr>
        <w:t>i</w:t>
      </w:r>
      <w:r>
        <w:rPr>
          <w:rFonts w:hint="default" w:ascii="Times New Roman" w:hAnsi="Times New Roman" w:cs="Times New Roman"/>
          <w:b w:val="0"/>
          <w:bCs w:val="0"/>
          <w:color w:val="auto"/>
          <w:kern w:val="28"/>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cs="Times New Roman"/>
          <w:color w:val="auto"/>
          <w:lang w:val="en-US" w:eastAsia="zh-CN"/>
        </w:rPr>
      </w:pPr>
      <w:bookmarkStart w:id="169" w:name="_Toc8478"/>
      <w:bookmarkStart w:id="170" w:name="_Toc13675"/>
      <w:r>
        <w:rPr>
          <w:rFonts w:hint="default" w:ascii="Times New Roman" w:hAnsi="Times New Roman" w:cs="Times New Roman"/>
          <w:color w:val="auto"/>
          <w:lang w:val="en-US" w:eastAsia="zh-CN"/>
        </w:rPr>
        <w:t>7.5 校准因子计算</w:t>
      </w:r>
      <w:bookmarkEnd w:id="169"/>
      <w:bookmarkEnd w:id="170"/>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b w:val="0"/>
          <w:bCs w:val="0"/>
          <w:color w:val="auto"/>
          <w:kern w:val="28"/>
          <w:szCs w:val="24"/>
          <w:lang w:val="en-US" w:eastAsia="zh-CN"/>
        </w:rPr>
        <w:t>被校准单位水吸收剂量校准因子（</w:t>
      </w:r>
      <m:oMath>
        <m:sSub>
          <m:sSubPr>
            <m:ctrlPr>
              <w:rPr>
                <w:rFonts w:hint="default" w:ascii="Cambria Math" w:hAnsi="Cambria Math" w:cs="Times New Roman"/>
                <w:i/>
                <w:color w:val="auto"/>
                <w:kern w:val="28"/>
                <w:szCs w:val="24"/>
                <w:lang w:val="en-US"/>
              </w:rPr>
            </m:ctrlPr>
          </m:sSubPr>
          <m:e>
            <m:r>
              <m:rPr/>
              <w:rPr>
                <w:rFonts w:hint="default" w:ascii="Cambria Math" w:hAnsi="Cambria Math" w:cs="Times New Roman"/>
                <w:color w:val="auto"/>
                <w:kern w:val="28"/>
                <w:szCs w:val="24"/>
                <w:lang w:val="en-US" w:eastAsia="zh-CN"/>
              </w:rPr>
              <m:t>N</m:t>
            </m:r>
            <m:ctrlPr>
              <w:rPr>
                <w:rFonts w:hint="default" w:ascii="Cambria Math" w:hAnsi="Cambria Math" w:cs="Times New Roman"/>
                <w:i/>
                <w:color w:val="auto"/>
                <w:kern w:val="28"/>
                <w:szCs w:val="24"/>
                <w:lang w:val="en-US"/>
              </w:rPr>
            </m:ctrlPr>
          </m:e>
          <m:sub>
            <m:r>
              <m:rPr/>
              <w:rPr>
                <w:rFonts w:hint="default" w:ascii="Cambria Math" w:hAnsi="Cambria Math" w:cs="Times New Roman"/>
                <w:color w:val="auto"/>
                <w:kern w:val="28"/>
                <w:szCs w:val="24"/>
                <w:lang w:val="en-US" w:eastAsia="zh-CN"/>
              </w:rPr>
              <m:t>D,w</m:t>
            </m:r>
            <m:ctrlPr>
              <w:rPr>
                <w:rFonts w:hint="default" w:ascii="Cambria Math" w:hAnsi="Cambria Math" w:cs="Times New Roman"/>
                <w:i/>
                <w:color w:val="auto"/>
                <w:kern w:val="28"/>
                <w:szCs w:val="24"/>
                <w:lang w:val="en-US"/>
              </w:rPr>
            </m:ctrlPr>
          </m:sub>
        </m:sSub>
      </m:oMath>
      <w:r>
        <w:rPr>
          <w:rFonts w:hint="default" w:ascii="Times New Roman" w:hAnsi="Times New Roman" w:cs="Times New Roman"/>
          <w:i w:val="0"/>
          <w:color w:val="auto"/>
          <w:kern w:val="28"/>
          <w:szCs w:val="24"/>
          <w:lang w:val="en-US" w:eastAsia="zh-CN"/>
        </w:rPr>
        <w:t>）</w:t>
      </w:r>
      <w:r>
        <w:rPr>
          <w:rFonts w:hint="default" w:ascii="Times New Roman" w:hAnsi="Times New Roman" w:cs="Times New Roman"/>
          <w:b w:val="0"/>
          <w:bCs w:val="0"/>
          <w:color w:val="auto"/>
          <w:kern w:val="28"/>
          <w:szCs w:val="24"/>
          <w:lang w:val="en-US" w:eastAsia="zh-CN"/>
        </w:rPr>
        <w:t>由下式计算：</w:t>
      </w:r>
    </w:p>
    <w:tbl>
      <w:tblPr>
        <w:tblStyle w:val="8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8"/>
        <w:gridCol w:w="3238"/>
        <w:gridCol w:w="32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38"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w:p>
        </w:tc>
        <w:tc>
          <w:tcPr>
            <w:tcW w:w="3238"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m:oMathPara>
              <m:oMath>
                <m:sSub>
                  <m:sSubPr>
                    <m:ctrlPr>
                      <w:rPr>
                        <w:rFonts w:hint="default" w:ascii="Cambria Math" w:hAnsi="Cambria Math" w:cs="Times New Roman"/>
                        <w:i/>
                        <w:color w:val="auto"/>
                        <w:kern w:val="28"/>
                        <w:szCs w:val="24"/>
                        <w:lang w:val="en-US"/>
                      </w:rPr>
                    </m:ctrlPr>
                  </m:sSubPr>
                  <m:e>
                    <m:r>
                      <m:rPr/>
                      <w:rPr>
                        <w:rFonts w:hint="default" w:ascii="Cambria Math" w:hAnsi="Cambria Math" w:cs="Times New Roman"/>
                        <w:color w:val="auto"/>
                        <w:kern w:val="28"/>
                        <w:szCs w:val="24"/>
                        <w:lang w:val="en-US" w:eastAsia="zh-CN"/>
                      </w:rPr>
                      <m:t>N</m:t>
                    </m:r>
                    <m:ctrlPr>
                      <w:rPr>
                        <w:rFonts w:hint="default" w:ascii="Cambria Math" w:hAnsi="Cambria Math" w:cs="Times New Roman"/>
                        <w:i/>
                        <w:color w:val="auto"/>
                        <w:kern w:val="28"/>
                        <w:szCs w:val="24"/>
                        <w:lang w:val="en-US"/>
                      </w:rPr>
                    </m:ctrlPr>
                  </m:e>
                  <m:sub>
                    <m:r>
                      <m:rPr/>
                      <w:rPr>
                        <w:rFonts w:hint="default" w:ascii="Cambria Math" w:hAnsi="Cambria Math" w:cs="Times New Roman"/>
                        <w:color w:val="auto"/>
                        <w:kern w:val="28"/>
                        <w:szCs w:val="24"/>
                        <w:lang w:val="en-US" w:eastAsia="zh-CN"/>
                      </w:rPr>
                      <m:t>D,w</m:t>
                    </m:r>
                    <m:ctrlPr>
                      <w:rPr>
                        <w:rFonts w:hint="default" w:ascii="Cambria Math" w:hAnsi="Cambria Math" w:cs="Times New Roman"/>
                        <w:i/>
                        <w:color w:val="auto"/>
                        <w:kern w:val="28"/>
                        <w:szCs w:val="24"/>
                        <w:lang w:val="en-US"/>
                      </w:rPr>
                    </m:ctrlPr>
                  </m:sub>
                </m:sSub>
                <m:r>
                  <m:rPr>
                    <m:sty m:val="p"/>
                  </m:rPr>
                  <w:rPr>
                    <w:rFonts w:hint="default" w:ascii="Cambria Math" w:hAnsi="Cambria Math" w:cs="Times New Roman"/>
                    <w:color w:val="auto"/>
                    <w:kern w:val="28"/>
                    <w:szCs w:val="24"/>
                    <w:lang w:val="en-US" w:eastAsia="zh-CN"/>
                  </w:rPr>
                  <m:t>=</m:t>
                </m:r>
                <m:f>
                  <m:fPr>
                    <m:ctrlPr>
                      <w:rPr>
                        <w:rFonts w:hint="default" w:ascii="Cambria Math" w:hAnsi="Cambria Math" w:cs="Times New Roman"/>
                        <w:bCs w:val="0"/>
                        <w:color w:val="auto"/>
                        <w:kern w:val="28"/>
                        <w:szCs w:val="24"/>
                        <w:lang w:val="en-US" w:eastAsia="zh-CN"/>
                      </w:rPr>
                    </m:ctrlPr>
                  </m:fPr>
                  <m:num>
                    <m:sSub>
                      <m:sSubPr>
                        <m:ctrlPr>
                          <w:rPr>
                            <w:rFonts w:hint="default" w:ascii="Cambria Math" w:hAnsi="Cambria Math" w:cs="Times New Roman"/>
                            <w:bCs w:val="0"/>
                            <w:color w:val="auto"/>
                            <w:kern w:val="28"/>
                            <w:szCs w:val="24"/>
                            <w:lang w:val="en-US" w:eastAsia="zh-CN"/>
                          </w:rPr>
                        </m:ctrlPr>
                      </m:sSubPr>
                      <m:e>
                        <m:acc>
                          <m:accPr>
                            <m:chr m:val="̅"/>
                            <m:ctrlPr>
                              <w:rPr>
                                <w:rFonts w:hint="default" w:ascii="Cambria Math" w:hAnsi="Cambria Math" w:cs="Times New Roman"/>
                                <w:bCs w:val="0"/>
                                <w:color w:val="auto"/>
                                <w:kern w:val="28"/>
                                <w:szCs w:val="24"/>
                                <w:lang w:val="en-US" w:eastAsia="zh-CN"/>
                              </w:rPr>
                            </m:ctrlPr>
                          </m:accPr>
                          <m:e>
                            <m:r>
                              <m:rPr/>
                              <w:rPr>
                                <w:rFonts w:hint="default" w:ascii="Cambria Math" w:hAnsi="Cambria Math" w:cs="Times New Roman"/>
                                <w:color w:val="auto"/>
                                <w:kern w:val="28"/>
                                <w:szCs w:val="24"/>
                                <w:lang w:val="en-US" w:eastAsia="zh-CN"/>
                              </w:rPr>
                              <m:t>D</m:t>
                            </m:r>
                            <m:ctrlPr>
                              <w:rPr>
                                <w:rFonts w:hint="default" w:ascii="Cambria Math" w:hAnsi="Cambria Math" w:cs="Times New Roman"/>
                                <w:bCs w:val="0"/>
                                <w:color w:val="auto"/>
                                <w:kern w:val="28"/>
                                <w:szCs w:val="24"/>
                                <w:lang w:val="en-US" w:eastAsia="zh-CN"/>
                              </w:rPr>
                            </m:ctrlPr>
                          </m:e>
                        </m:acc>
                        <m:ctrlPr>
                          <w:rPr>
                            <w:rFonts w:hint="default" w:ascii="Cambria Math" w:hAnsi="Cambria Math" w:cs="Times New Roman"/>
                            <w:bCs w:val="0"/>
                            <w:color w:val="auto"/>
                            <w:kern w:val="28"/>
                            <w:szCs w:val="24"/>
                            <w:lang w:val="en-US" w:eastAsia="zh-CN"/>
                          </w:rPr>
                        </m:ctrlPr>
                      </m:e>
                      <m:sub>
                        <m:r>
                          <m:rPr/>
                          <w:rPr>
                            <w:rFonts w:hint="default" w:ascii="Cambria Math" w:hAnsi="Cambria Math" w:cs="Times New Roman"/>
                            <w:color w:val="auto"/>
                            <w:kern w:val="28"/>
                            <w:szCs w:val="24"/>
                            <w:lang w:val="en-US" w:eastAsia="zh-CN"/>
                          </w:rPr>
                          <m:t>0</m:t>
                        </m:r>
                        <m:ctrlPr>
                          <w:rPr>
                            <w:rFonts w:hint="default" w:ascii="Cambria Math" w:hAnsi="Cambria Math" w:cs="Times New Roman"/>
                            <w:bCs w:val="0"/>
                            <w:color w:val="auto"/>
                            <w:kern w:val="28"/>
                            <w:szCs w:val="24"/>
                            <w:lang w:val="en-US" w:eastAsia="zh-CN"/>
                          </w:rPr>
                        </m:ctrlPr>
                      </m:sub>
                    </m:sSub>
                    <m:ctrlPr>
                      <w:rPr>
                        <w:rFonts w:hint="default" w:ascii="Cambria Math" w:hAnsi="Cambria Math" w:cs="Times New Roman"/>
                        <w:bCs w:val="0"/>
                        <w:color w:val="auto"/>
                        <w:kern w:val="28"/>
                        <w:szCs w:val="24"/>
                        <w:lang w:val="en-US" w:eastAsia="zh-CN"/>
                      </w:rPr>
                    </m:ctrlPr>
                  </m:num>
                  <m:den>
                    <m:d>
                      <m:dPr>
                        <m:ctrlPr>
                          <w:rPr>
                            <w:rFonts w:hint="default" w:ascii="Cambria Math" w:hAnsi="Cambria Math" w:cs="Times New Roman"/>
                            <w:bCs w:val="0"/>
                            <w:color w:val="auto"/>
                            <w:kern w:val="28"/>
                            <w:szCs w:val="24"/>
                            <w:lang w:val="en-US" w:eastAsia="zh-CN"/>
                          </w:rPr>
                        </m:ctrlPr>
                      </m:dPr>
                      <m:e>
                        <m:sSub>
                          <m:sSubPr>
                            <m:ctrlPr>
                              <w:rPr>
                                <w:rFonts w:hint="default" w:ascii="Cambria Math" w:hAnsi="Cambria Math" w:cs="Times New Roman"/>
                                <w:bCs w:val="0"/>
                                <w:color w:val="auto"/>
                                <w:kern w:val="28"/>
                                <w:szCs w:val="24"/>
                                <w:lang w:val="en-US" w:eastAsia="zh-CN"/>
                              </w:rPr>
                            </m:ctrlPr>
                          </m:sSubPr>
                          <m:e>
                            <m:acc>
                              <m:accPr>
                                <m:chr m:val="̅"/>
                                <m:ctrlPr>
                                  <w:rPr>
                                    <w:rFonts w:hint="default" w:ascii="Cambria Math" w:hAnsi="Cambria Math" w:cs="Times New Roman"/>
                                    <w:bCs w:val="0"/>
                                    <w:color w:val="auto"/>
                                    <w:kern w:val="28"/>
                                    <w:szCs w:val="24"/>
                                    <w:lang w:val="en-US" w:eastAsia="zh-CN"/>
                                  </w:rPr>
                                </m:ctrlPr>
                              </m:accPr>
                              <m:e>
                                <m:r>
                                  <m:rPr/>
                                  <w:rPr>
                                    <w:rFonts w:hint="default" w:ascii="Cambria Math" w:hAnsi="Cambria Math" w:cs="Times New Roman"/>
                                    <w:color w:val="auto"/>
                                    <w:kern w:val="28"/>
                                    <w:szCs w:val="24"/>
                                    <w:lang w:val="en-US" w:eastAsia="zh-CN"/>
                                  </w:rPr>
                                  <m:t>D</m:t>
                                </m:r>
                                <m:ctrlPr>
                                  <w:rPr>
                                    <w:rFonts w:hint="default" w:ascii="Cambria Math" w:hAnsi="Cambria Math" w:cs="Times New Roman"/>
                                    <w:bCs w:val="0"/>
                                    <w:color w:val="auto"/>
                                    <w:kern w:val="28"/>
                                    <w:szCs w:val="24"/>
                                    <w:lang w:val="en-US" w:eastAsia="zh-CN"/>
                                  </w:rPr>
                                </m:ctrlPr>
                              </m:e>
                            </m:acc>
                            <m:ctrlPr>
                              <w:rPr>
                                <w:rFonts w:hint="default" w:ascii="Cambria Math" w:hAnsi="Cambria Math" w:cs="Times New Roman"/>
                                <w:bCs w:val="0"/>
                                <w:color w:val="auto"/>
                                <w:kern w:val="28"/>
                                <w:szCs w:val="24"/>
                                <w:lang w:val="en-US" w:eastAsia="zh-CN"/>
                              </w:rPr>
                            </m:ctrlPr>
                          </m:e>
                          <m:sub>
                            <m:r>
                              <m:rPr/>
                              <w:rPr>
                                <w:rFonts w:hint="default" w:ascii="Cambria Math" w:hAnsi="Cambria Math" w:cs="Times New Roman"/>
                                <w:color w:val="auto"/>
                                <w:kern w:val="28"/>
                                <w:szCs w:val="24"/>
                                <w:lang w:val="en-US" w:eastAsia="zh-CN"/>
                              </w:rPr>
                              <m:t>n</m:t>
                            </m:r>
                            <m:ctrlPr>
                              <w:rPr>
                                <w:rFonts w:hint="default" w:ascii="Cambria Math" w:hAnsi="Cambria Math" w:cs="Times New Roman"/>
                                <w:bCs w:val="0"/>
                                <w:color w:val="auto"/>
                                <w:kern w:val="28"/>
                                <w:szCs w:val="24"/>
                                <w:lang w:val="en-US" w:eastAsia="zh-CN"/>
                              </w:rPr>
                            </m:ctrlPr>
                          </m:sub>
                        </m:sSub>
                        <m:r>
                          <m:rPr>
                            <m:sty m:val="p"/>
                          </m:rPr>
                          <w:rPr>
                            <w:rFonts w:hint="default" w:ascii="Cambria Math" w:hAnsi="Cambria Math" w:cs="Times New Roman"/>
                            <w:color w:val="auto"/>
                            <w:kern w:val="28"/>
                            <w:szCs w:val="24"/>
                            <w:lang w:val="en-US" w:eastAsia="zh-CN"/>
                          </w:rPr>
                          <m:t>−</m:t>
                        </m:r>
                        <m:sSub>
                          <m:sSubPr>
                            <m:ctrlPr>
                              <w:rPr>
                                <w:rFonts w:hint="default" w:ascii="Cambria Math" w:hAnsi="Cambria Math" w:cs="Times New Roman"/>
                                <w:bCs w:val="0"/>
                                <w:color w:val="auto"/>
                                <w:kern w:val="28"/>
                                <w:szCs w:val="24"/>
                                <w:lang w:val="en-US" w:eastAsia="zh-CN"/>
                              </w:rPr>
                            </m:ctrlPr>
                          </m:sSubPr>
                          <m:e>
                            <m:r>
                              <m:rPr/>
                              <w:rPr>
                                <w:rFonts w:hint="default" w:ascii="Cambria Math" w:hAnsi="Cambria Math" w:cs="Times New Roman"/>
                                <w:color w:val="auto"/>
                                <w:kern w:val="28"/>
                                <w:szCs w:val="24"/>
                                <w:lang w:val="en-US" w:eastAsia="zh-CN"/>
                              </w:rPr>
                              <m:t>D</m:t>
                            </m:r>
                            <m:ctrlPr>
                              <w:rPr>
                                <w:rFonts w:hint="default" w:ascii="Cambria Math" w:hAnsi="Cambria Math" w:cs="Times New Roman"/>
                                <w:bCs w:val="0"/>
                                <w:color w:val="auto"/>
                                <w:kern w:val="28"/>
                                <w:szCs w:val="24"/>
                                <w:lang w:val="en-US" w:eastAsia="zh-CN"/>
                              </w:rPr>
                            </m:ctrlPr>
                          </m:e>
                          <m:sub>
                            <m:r>
                              <m:rPr/>
                              <w:rPr>
                                <w:rFonts w:hint="default" w:ascii="Cambria Math" w:hAnsi="Cambria Math" w:cs="Times New Roman"/>
                                <w:color w:val="auto"/>
                                <w:kern w:val="28"/>
                                <w:szCs w:val="24"/>
                                <w:lang w:val="en-US" w:eastAsia="zh-CN"/>
                              </w:rPr>
                              <m:t>B</m:t>
                            </m:r>
                            <m:ctrlPr>
                              <w:rPr>
                                <w:rFonts w:hint="default" w:ascii="Cambria Math" w:hAnsi="Cambria Math" w:cs="Times New Roman"/>
                                <w:bCs w:val="0"/>
                                <w:color w:val="auto"/>
                                <w:kern w:val="28"/>
                                <w:szCs w:val="24"/>
                                <w:lang w:val="en-US" w:eastAsia="zh-CN"/>
                              </w:rPr>
                            </m:ctrlPr>
                          </m:sub>
                        </m:sSub>
                        <m:ctrlPr>
                          <w:rPr>
                            <w:rFonts w:hint="default" w:ascii="Cambria Math" w:hAnsi="Cambria Math" w:cs="Times New Roman"/>
                            <w:bCs w:val="0"/>
                            <w:color w:val="auto"/>
                            <w:kern w:val="28"/>
                            <w:szCs w:val="24"/>
                            <w:lang w:val="en-US" w:eastAsia="zh-CN"/>
                          </w:rPr>
                        </m:ctrlPr>
                      </m:e>
                    </m:d>
                    <m:ctrlPr>
                      <w:rPr>
                        <w:rFonts w:hint="default" w:ascii="Cambria Math" w:hAnsi="Cambria Math" w:cs="Times New Roman"/>
                        <w:bCs w:val="0"/>
                        <w:color w:val="auto"/>
                        <w:kern w:val="28"/>
                        <w:szCs w:val="24"/>
                        <w:lang w:val="en-US" w:eastAsia="zh-CN"/>
                      </w:rPr>
                    </m:ctrlPr>
                  </m:den>
                </m:f>
              </m:oMath>
            </m:oMathPara>
          </w:p>
        </w:tc>
        <w:tc>
          <w:tcPr>
            <w:tcW w:w="3238"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rPr>
                <w:rFonts w:hint="default" w:ascii="Times New Roman" w:hAnsi="Times New Roman" w:cs="Times New Roman"/>
                <w:i w:val="0"/>
                <w:color w:val="auto"/>
                <w:kern w:val="28"/>
                <w:sz w:val="24"/>
                <w:szCs w:val="24"/>
                <w:vertAlign w:val="baseline"/>
                <w:lang w:val="en-US" w:eastAsia="zh-CN" w:bidi="ar-SA"/>
              </w:rPr>
            </w:pPr>
            <w:r>
              <w:rPr>
                <w:rFonts w:hint="default" w:ascii="Times New Roman" w:hAnsi="Times New Roman" w:cs="Times New Roman"/>
                <w:i w:val="0"/>
                <w:color w:val="auto"/>
                <w:kern w:val="28"/>
                <w:sz w:val="24"/>
                <w:szCs w:val="24"/>
                <w:vertAlign w:val="baseline"/>
                <w:lang w:val="en-US" w:eastAsia="zh-CN" w:bidi="ar-SA"/>
              </w:rPr>
              <w:t>（</w:t>
            </w:r>
            <w:r>
              <w:rPr>
                <w:rFonts w:hint="eastAsia" w:cs="Times New Roman"/>
                <w:i w:val="0"/>
                <w:color w:val="auto"/>
                <w:kern w:val="28"/>
                <w:sz w:val="24"/>
                <w:szCs w:val="24"/>
                <w:vertAlign w:val="baseline"/>
                <w:lang w:val="en-US" w:eastAsia="zh-CN" w:bidi="ar-SA"/>
              </w:rPr>
              <w:t>3</w:t>
            </w:r>
            <w:r>
              <w:rPr>
                <w:rFonts w:hint="default" w:ascii="Times New Roman" w:hAnsi="Times New Roman" w:cs="Times New Roman"/>
                <w:i w:val="0"/>
                <w:color w:val="auto"/>
                <w:kern w:val="28"/>
                <w:sz w:val="24"/>
                <w:szCs w:val="24"/>
                <w:vertAlign w:val="baseline"/>
                <w:lang w:val="en-US" w:eastAsia="zh-CN" w:bidi="ar-SA"/>
              </w:rPr>
              <w:t>）</w:t>
            </w:r>
          </w:p>
        </w:tc>
      </w:tr>
    </w:tbl>
    <w:p>
      <w:pPr>
        <w:keepNext w:val="0"/>
        <w:keepLines w:val="0"/>
        <w:pageBreakBefore w:val="0"/>
        <w:kinsoku/>
        <w:wordWrap/>
        <w:overflowPunct/>
        <w:topLinePunct w:val="0"/>
        <w:autoSpaceDE w:val="0"/>
        <w:autoSpaceDN w:val="0"/>
        <w:bidi w:val="0"/>
        <w:adjustRightInd w:val="0"/>
        <w:spacing w:line="360" w:lineRule="auto"/>
        <w:jc w:val="left"/>
        <w:textAlignment w:val="auto"/>
        <w:rPr>
          <w:rFonts w:hint="default" w:ascii="Times New Roman" w:hAnsi="Times New Roman" w:cs="Times New Roman"/>
          <w:b w:val="0"/>
          <w:bCs w:val="0"/>
          <w:color w:val="auto"/>
          <w:kern w:val="28"/>
          <w:szCs w:val="24"/>
          <w:lang w:val="en-US" w:eastAsia="zh-CN"/>
        </w:rPr>
      </w:pPr>
      <w:r>
        <w:rPr>
          <w:rFonts w:hint="default" w:ascii="Times New Roman" w:hAnsi="Times New Roman" w:cs="Times New Roman"/>
          <w:b w:val="0"/>
          <w:bCs w:val="0"/>
          <w:color w:val="auto"/>
          <w:kern w:val="28"/>
          <w:szCs w:val="24"/>
          <w:lang w:val="en-US" w:eastAsia="zh-CN"/>
        </w:rPr>
        <w:t>式中：</w:t>
      </w:r>
      <m:oMath>
        <m:sSub>
          <m:sSubPr>
            <m:ctrlPr>
              <w:rPr>
                <w:rFonts w:hint="default" w:ascii="Cambria Math" w:hAnsi="Cambria Math" w:cs="Times New Roman"/>
                <w:bCs w:val="0"/>
                <w:color w:val="auto"/>
                <w:kern w:val="28"/>
                <w:szCs w:val="24"/>
                <w:lang w:val="en-US" w:eastAsia="zh-CN"/>
              </w:rPr>
            </m:ctrlPr>
          </m:sSubPr>
          <m:e>
            <m:acc>
              <m:accPr>
                <m:chr m:val="̅"/>
                <m:ctrlPr>
                  <w:rPr>
                    <w:rFonts w:hint="default" w:ascii="Cambria Math" w:hAnsi="Cambria Math" w:cs="Times New Roman"/>
                    <w:bCs w:val="0"/>
                    <w:color w:val="auto"/>
                    <w:kern w:val="28"/>
                    <w:szCs w:val="24"/>
                    <w:lang w:val="en-US" w:eastAsia="zh-CN"/>
                  </w:rPr>
                </m:ctrlPr>
              </m:accPr>
              <m:e>
                <m:r>
                  <m:rPr/>
                  <w:rPr>
                    <w:rFonts w:hint="default" w:ascii="Cambria Math" w:hAnsi="Cambria Math" w:cs="Times New Roman"/>
                    <w:color w:val="auto"/>
                    <w:kern w:val="28"/>
                    <w:szCs w:val="24"/>
                    <w:lang w:val="en-US" w:eastAsia="zh-CN"/>
                  </w:rPr>
                  <m:t>D</m:t>
                </m:r>
                <m:ctrlPr>
                  <w:rPr>
                    <w:rFonts w:hint="default" w:ascii="Cambria Math" w:hAnsi="Cambria Math" w:cs="Times New Roman"/>
                    <w:bCs w:val="0"/>
                    <w:color w:val="auto"/>
                    <w:kern w:val="28"/>
                    <w:szCs w:val="24"/>
                    <w:lang w:val="en-US" w:eastAsia="zh-CN"/>
                  </w:rPr>
                </m:ctrlPr>
              </m:e>
            </m:acc>
            <m:ctrlPr>
              <w:rPr>
                <w:rFonts w:hint="default" w:ascii="Cambria Math" w:hAnsi="Cambria Math" w:cs="Times New Roman"/>
                <w:bCs w:val="0"/>
                <w:color w:val="auto"/>
                <w:kern w:val="28"/>
                <w:szCs w:val="24"/>
                <w:lang w:val="en-US" w:eastAsia="zh-CN"/>
              </w:rPr>
            </m:ctrlPr>
          </m:e>
          <m:sub>
            <m:r>
              <m:rPr/>
              <w:rPr>
                <w:rFonts w:hint="default" w:ascii="Cambria Math" w:hAnsi="Cambria Math" w:cs="Times New Roman"/>
                <w:color w:val="auto"/>
                <w:kern w:val="28"/>
                <w:szCs w:val="24"/>
                <w:lang w:val="en-US" w:eastAsia="zh-CN"/>
              </w:rPr>
              <m:t>0</m:t>
            </m:r>
            <m:ctrlPr>
              <w:rPr>
                <w:rFonts w:hint="default" w:ascii="Cambria Math" w:hAnsi="Cambria Math" w:cs="Times New Roman"/>
                <w:bCs w:val="0"/>
                <w:color w:val="auto"/>
                <w:kern w:val="28"/>
                <w:szCs w:val="24"/>
                <w:lang w:val="en-US" w:eastAsia="zh-CN"/>
              </w:rPr>
            </m:ctrlPr>
          </m:sub>
        </m:sSub>
      </m:oMath>
      <w:r>
        <w:rPr>
          <w:rFonts w:hint="default" w:ascii="Times New Roman" w:hAnsi="Times New Roman" w:cs="Times New Roman"/>
          <w:bCs w:val="0"/>
          <w:i w:val="0"/>
          <w:color w:val="auto"/>
          <w:kern w:val="28"/>
          <w:szCs w:val="24"/>
          <w:lang w:val="en-US" w:eastAsia="zh-CN"/>
        </w:rPr>
        <w:t>——</w:t>
      </w:r>
      <w:r>
        <w:rPr>
          <w:rFonts w:hint="default" w:ascii="Times New Roman" w:hAnsi="Times New Roman" w:cs="Times New Roman"/>
          <w:b w:val="0"/>
          <w:bCs w:val="0"/>
          <w:color w:val="auto"/>
          <w:kern w:val="28"/>
          <w:szCs w:val="24"/>
          <w:lang w:val="en-US" w:eastAsia="zh-CN"/>
        </w:rPr>
        <w:t>校准组织单位读取的3组固体剂量计</w:t>
      </w:r>
      <w:r>
        <w:rPr>
          <w:rFonts w:hint="default" w:ascii="Times New Roman" w:hAnsi="Times New Roman" w:cs="Times New Roman"/>
          <w:b w:val="0"/>
          <w:bCs w:val="0"/>
          <w:i/>
          <w:iCs/>
          <w:color w:val="auto"/>
          <w:kern w:val="28"/>
          <w:szCs w:val="24"/>
          <w:lang w:val="en-US" w:eastAsia="zh-CN"/>
        </w:rPr>
        <w:t>D</w:t>
      </w:r>
      <w:r>
        <w:rPr>
          <w:rFonts w:hint="default" w:ascii="Times New Roman" w:hAnsi="Times New Roman" w:cs="Times New Roman"/>
          <w:b w:val="0"/>
          <w:bCs w:val="0"/>
          <w:color w:val="auto"/>
          <w:kern w:val="28"/>
          <w:szCs w:val="24"/>
          <w:vertAlign w:val="subscript"/>
          <w:lang w:val="en-US" w:eastAsia="zh-CN"/>
        </w:rPr>
        <w:t>0,</w:t>
      </w:r>
      <w:r>
        <w:rPr>
          <w:rFonts w:hint="default" w:ascii="Times New Roman" w:hAnsi="Times New Roman" w:cs="Times New Roman"/>
          <w:b w:val="0"/>
          <w:bCs w:val="0"/>
          <w:i/>
          <w:iCs/>
          <w:color w:val="auto"/>
          <w:kern w:val="28"/>
          <w:szCs w:val="24"/>
          <w:vertAlign w:val="subscript"/>
          <w:lang w:val="en-US" w:eastAsia="zh-CN"/>
        </w:rPr>
        <w:t>i</w:t>
      </w:r>
      <w:r>
        <w:rPr>
          <w:rFonts w:hint="default" w:ascii="Times New Roman" w:hAnsi="Times New Roman" w:cs="Times New Roman"/>
          <w:b w:val="0"/>
          <w:bCs w:val="0"/>
          <w:color w:val="auto"/>
          <w:kern w:val="28"/>
          <w:szCs w:val="24"/>
          <w:lang w:val="en-US" w:eastAsia="zh-CN"/>
        </w:rPr>
        <w:t>的平均值；</w:t>
      </w:r>
    </w:p>
    <w:p>
      <w:pPr>
        <w:keepNext w:val="0"/>
        <w:keepLines w:val="0"/>
        <w:pageBreakBefore w:val="0"/>
        <w:kinsoku/>
        <w:wordWrap/>
        <w:overflowPunct/>
        <w:topLinePunct w:val="0"/>
        <w:autoSpaceDE w:val="0"/>
        <w:autoSpaceDN w:val="0"/>
        <w:bidi w:val="0"/>
        <w:adjustRightInd w:val="0"/>
        <w:spacing w:line="360" w:lineRule="auto"/>
        <w:ind w:firstLine="720" w:firstLineChars="300"/>
        <w:jc w:val="left"/>
        <w:textAlignment w:val="auto"/>
        <w:rPr>
          <w:rFonts w:hint="default" w:ascii="Times New Roman" w:hAnsi="Times New Roman" w:cs="Times New Roman"/>
          <w:b w:val="0"/>
          <w:bCs w:val="0"/>
          <w:color w:val="auto"/>
          <w:kern w:val="28"/>
          <w:szCs w:val="24"/>
          <w:lang w:val="en-US" w:eastAsia="zh-CN"/>
        </w:rPr>
      </w:pPr>
      <m:oMath>
        <m:sSub>
          <m:sSubPr>
            <m:ctrlPr>
              <w:rPr>
                <w:rFonts w:hint="default" w:ascii="Cambria Math" w:hAnsi="Cambria Math" w:cs="Times New Roman"/>
                <w:bCs w:val="0"/>
                <w:color w:val="auto"/>
                <w:kern w:val="28"/>
                <w:szCs w:val="24"/>
                <w:lang w:val="en-US" w:eastAsia="zh-CN"/>
              </w:rPr>
            </m:ctrlPr>
          </m:sSubPr>
          <m:e>
            <m:acc>
              <m:accPr>
                <m:chr m:val="̅"/>
                <m:ctrlPr>
                  <w:rPr>
                    <w:rFonts w:hint="default" w:ascii="Cambria Math" w:hAnsi="Cambria Math" w:cs="Times New Roman"/>
                    <w:bCs w:val="0"/>
                    <w:color w:val="auto"/>
                    <w:kern w:val="28"/>
                    <w:szCs w:val="24"/>
                    <w:lang w:val="en-US" w:eastAsia="zh-CN"/>
                  </w:rPr>
                </m:ctrlPr>
              </m:accPr>
              <m:e>
                <m:r>
                  <m:rPr/>
                  <w:rPr>
                    <w:rFonts w:hint="default" w:ascii="Cambria Math" w:hAnsi="Cambria Math" w:cs="Times New Roman"/>
                    <w:color w:val="auto"/>
                    <w:kern w:val="28"/>
                    <w:szCs w:val="24"/>
                    <w:lang w:val="en-US" w:eastAsia="zh-CN"/>
                  </w:rPr>
                  <m:t>D</m:t>
                </m:r>
                <m:ctrlPr>
                  <w:rPr>
                    <w:rFonts w:hint="default" w:ascii="Cambria Math" w:hAnsi="Cambria Math" w:cs="Times New Roman"/>
                    <w:bCs w:val="0"/>
                    <w:color w:val="auto"/>
                    <w:kern w:val="28"/>
                    <w:szCs w:val="24"/>
                    <w:lang w:val="en-US" w:eastAsia="zh-CN"/>
                  </w:rPr>
                </m:ctrlPr>
              </m:e>
            </m:acc>
            <m:ctrlPr>
              <w:rPr>
                <w:rFonts w:hint="default" w:ascii="Cambria Math" w:hAnsi="Cambria Math" w:cs="Times New Roman"/>
                <w:bCs w:val="0"/>
                <w:color w:val="auto"/>
                <w:kern w:val="28"/>
                <w:szCs w:val="24"/>
                <w:lang w:val="en-US" w:eastAsia="zh-CN"/>
              </w:rPr>
            </m:ctrlPr>
          </m:e>
          <m:sub>
            <m:r>
              <m:rPr/>
              <w:rPr>
                <w:rFonts w:hint="default" w:ascii="Cambria Math" w:hAnsi="Cambria Math" w:cs="Times New Roman"/>
                <w:color w:val="auto"/>
                <w:kern w:val="28"/>
                <w:szCs w:val="24"/>
                <w:lang w:val="en-US" w:eastAsia="zh-CN"/>
              </w:rPr>
              <m:t>n</m:t>
            </m:r>
            <m:ctrlPr>
              <w:rPr>
                <w:rFonts w:hint="default" w:ascii="Cambria Math" w:hAnsi="Cambria Math" w:cs="Times New Roman"/>
                <w:bCs w:val="0"/>
                <w:color w:val="auto"/>
                <w:kern w:val="28"/>
                <w:szCs w:val="24"/>
                <w:lang w:val="en-US" w:eastAsia="zh-CN"/>
              </w:rPr>
            </m:ctrlPr>
          </m:sub>
        </m:sSub>
      </m:oMath>
      <w:r>
        <w:rPr>
          <w:rFonts w:hint="default" w:ascii="Times New Roman" w:hAnsi="Times New Roman" w:cs="Times New Roman"/>
          <w:b w:val="0"/>
          <w:bCs w:val="0"/>
          <w:color w:val="auto"/>
          <w:kern w:val="28"/>
          <w:szCs w:val="24"/>
          <w:lang w:val="en-US" w:eastAsia="zh-CN"/>
        </w:rPr>
        <w:t>——被校准单位“登记表”上填写的3组固体剂量计辐照剂量的平均值；</w:t>
      </w:r>
    </w:p>
    <w:p>
      <w:pPr>
        <w:keepNext w:val="0"/>
        <w:keepLines w:val="0"/>
        <w:pageBreakBefore w:val="0"/>
        <w:kinsoku/>
        <w:wordWrap/>
        <w:overflowPunct/>
        <w:topLinePunct w:val="0"/>
        <w:autoSpaceDE w:val="0"/>
        <w:autoSpaceDN w:val="0"/>
        <w:bidi w:val="0"/>
        <w:adjustRightInd w:val="0"/>
        <w:spacing w:line="360" w:lineRule="auto"/>
        <w:ind w:firstLine="720" w:firstLineChars="300"/>
        <w:jc w:val="left"/>
        <w:textAlignment w:val="auto"/>
        <w:rPr>
          <w:rFonts w:hint="default" w:ascii="Times New Roman" w:hAnsi="Times New Roman" w:cs="Times New Roman"/>
          <w:b w:val="0"/>
          <w:bCs w:val="0"/>
          <w:color w:val="auto"/>
          <w:kern w:val="28"/>
          <w:szCs w:val="24"/>
          <w:lang w:val="en-US" w:eastAsia="zh-CN"/>
        </w:rPr>
      </w:pPr>
      <m:oMath>
        <m:sSub>
          <m:sSubPr>
            <m:ctrlPr>
              <w:rPr>
                <w:rFonts w:hint="default" w:ascii="Cambria Math" w:hAnsi="Cambria Math" w:cs="Times New Roman"/>
                <w:bCs w:val="0"/>
                <w:color w:val="auto"/>
                <w:kern w:val="28"/>
                <w:szCs w:val="24"/>
                <w:lang w:val="en-US" w:eastAsia="zh-CN"/>
              </w:rPr>
            </m:ctrlPr>
          </m:sSubPr>
          <m:e>
            <m:r>
              <m:rPr/>
              <w:rPr>
                <w:rFonts w:hint="default" w:ascii="Cambria Math" w:hAnsi="Cambria Math" w:cs="Times New Roman"/>
                <w:color w:val="auto"/>
                <w:kern w:val="28"/>
                <w:szCs w:val="24"/>
                <w:lang w:val="en-US" w:eastAsia="zh-CN"/>
              </w:rPr>
              <m:t>D</m:t>
            </m:r>
            <m:ctrlPr>
              <w:rPr>
                <w:rFonts w:hint="default" w:ascii="Cambria Math" w:hAnsi="Cambria Math" w:cs="Times New Roman"/>
                <w:bCs w:val="0"/>
                <w:color w:val="auto"/>
                <w:kern w:val="28"/>
                <w:szCs w:val="24"/>
                <w:lang w:val="en-US" w:eastAsia="zh-CN"/>
              </w:rPr>
            </m:ctrlPr>
          </m:e>
          <m:sub>
            <m:r>
              <m:rPr/>
              <w:rPr>
                <w:rFonts w:hint="default" w:ascii="Cambria Math" w:hAnsi="Cambria Math" w:cs="Times New Roman"/>
                <w:color w:val="auto"/>
                <w:kern w:val="28"/>
                <w:szCs w:val="24"/>
                <w:lang w:val="en-US" w:eastAsia="zh-CN"/>
              </w:rPr>
              <m:t>B</m:t>
            </m:r>
            <m:ctrlPr>
              <w:rPr>
                <w:rFonts w:hint="default" w:ascii="Cambria Math" w:hAnsi="Cambria Math" w:cs="Times New Roman"/>
                <w:bCs w:val="0"/>
                <w:color w:val="auto"/>
                <w:kern w:val="28"/>
                <w:szCs w:val="24"/>
                <w:lang w:val="en-US" w:eastAsia="zh-CN"/>
              </w:rPr>
            </m:ctrlPr>
          </m:sub>
        </m:sSub>
      </m:oMath>
      <w:r>
        <w:rPr>
          <w:rFonts w:hint="default" w:ascii="Times New Roman" w:hAnsi="Times New Roman" w:cs="Times New Roman"/>
          <w:b w:val="0"/>
          <w:bCs w:val="0"/>
          <w:color w:val="auto"/>
          <w:kern w:val="28"/>
          <w:szCs w:val="24"/>
          <w:lang w:val="en-US" w:eastAsia="zh-CN"/>
        </w:rPr>
        <w:t>——校准组织单位读取的本底固体剂量计的剂量值。</w:t>
      </w:r>
    </w:p>
    <w:p>
      <w:pPr>
        <w:pStyle w:val="3"/>
        <w:keepNext w:val="0"/>
        <w:keepLines w:val="0"/>
        <w:pageBreakBefore w:val="0"/>
        <w:numPr>
          <w:ilvl w:val="0"/>
          <w:numId w:val="0"/>
        </w:numPr>
        <w:kinsoku/>
        <w:wordWrap/>
        <w:overflowPunct/>
        <w:topLinePunct w:val="0"/>
        <w:bidi w:val="0"/>
        <w:spacing w:before="156" w:beforeLines="50" w:after="156" w:afterLines="50" w:line="360" w:lineRule="auto"/>
        <w:ind w:right="240"/>
        <w:textAlignment w:val="auto"/>
        <w:rPr>
          <w:rFonts w:hint="default" w:ascii="Times New Roman" w:hAnsi="Times New Roman" w:cs="Times New Roman"/>
          <w:b w:val="0"/>
          <w:color w:val="auto"/>
        </w:rPr>
      </w:pPr>
      <w:bookmarkStart w:id="171" w:name="_Toc373339104"/>
      <w:bookmarkStart w:id="172" w:name="_Toc373698949"/>
      <w:bookmarkStart w:id="173" w:name="_Toc15433"/>
      <w:bookmarkStart w:id="174" w:name="_Toc146027214"/>
      <w:bookmarkStart w:id="175" w:name="_Toc23805"/>
      <w:bookmarkStart w:id="176" w:name="_Toc9535"/>
      <w:bookmarkStart w:id="177" w:name="_Toc27475"/>
      <w:r>
        <w:rPr>
          <w:rFonts w:hint="default" w:ascii="Times New Roman" w:hAnsi="Times New Roman" w:cs="Times New Roman"/>
          <w:b w:val="0"/>
          <w:color w:val="auto"/>
        </w:rPr>
        <w:t xml:space="preserve">8  </w:t>
      </w:r>
      <w:r>
        <w:rPr>
          <w:rFonts w:hint="default" w:ascii="Times New Roman" w:hAnsi="Times New Roman" w:cs="Times New Roman"/>
          <w:b w:val="0"/>
          <w:color w:val="auto"/>
          <w:lang w:eastAsia="zh-CN"/>
        </w:rPr>
        <w:t>校准</w:t>
      </w:r>
      <w:r>
        <w:rPr>
          <w:rFonts w:hint="default" w:ascii="Times New Roman" w:hAnsi="Times New Roman" w:cs="Times New Roman"/>
          <w:b w:val="0"/>
          <w:color w:val="auto"/>
        </w:rPr>
        <w:t>结果表达</w:t>
      </w:r>
      <w:bookmarkEnd w:id="171"/>
      <w:bookmarkEnd w:id="172"/>
      <w:bookmarkEnd w:id="173"/>
      <w:bookmarkEnd w:id="174"/>
      <w:bookmarkEnd w:id="175"/>
      <w:bookmarkEnd w:id="176"/>
      <w:bookmarkEnd w:id="177"/>
    </w:p>
    <w:p>
      <w:pPr>
        <w:pStyle w:val="1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val="0"/>
        <w:jc w:val="both"/>
        <w:textAlignment w:val="auto"/>
        <w:rPr>
          <w:rFonts w:hint="default" w:ascii="Times New Roman" w:hAnsi="Times New Roman" w:eastAsia="宋体" w:cs="Times New Roman"/>
          <w:b w:val="0"/>
          <w:bCs w:val="0"/>
          <w:color w:val="auto"/>
          <w:kern w:val="28"/>
          <w:szCs w:val="24"/>
          <w:lang w:val="en-US" w:eastAsia="zh-CN"/>
        </w:rPr>
      </w:pPr>
      <w:bookmarkStart w:id="178" w:name="_Toc327375386"/>
      <w:r>
        <w:rPr>
          <w:rFonts w:hint="default" w:ascii="Times New Roman" w:hAnsi="Times New Roman" w:cs="Times New Roman"/>
          <w:color w:val="auto"/>
          <w:sz w:val="24"/>
          <w:lang w:eastAsia="zh-CN"/>
        </w:rPr>
        <w:t>按本规范进行校准，出具校准证书，证书除应包括JJF 1071-2010中所要求的内容外，还应包含</w:t>
      </w:r>
      <w:r>
        <w:rPr>
          <w:rFonts w:hint="default" w:ascii="Times New Roman" w:hAnsi="Times New Roman" w:cs="Times New Roman"/>
          <w:color w:val="auto"/>
          <w:sz w:val="24"/>
          <w:lang w:val="en-US" w:eastAsia="zh-CN"/>
        </w:rPr>
        <w:t>固体剂量计的</w:t>
      </w:r>
      <w:r>
        <w:rPr>
          <w:rFonts w:hint="default" w:ascii="Times New Roman" w:hAnsi="Times New Roman" w:cs="Times New Roman"/>
          <w:color w:val="auto"/>
          <w:sz w:val="24"/>
          <w:lang w:eastAsia="zh-CN"/>
        </w:rPr>
        <w:t>计量特性</w:t>
      </w:r>
      <w:r>
        <w:rPr>
          <w:rFonts w:hint="default" w:ascii="Times New Roman" w:hAnsi="Times New Roman" w:cs="Times New Roman"/>
          <w:color w:val="auto"/>
          <w:sz w:val="24"/>
          <w:lang w:val="en-US" w:eastAsia="zh-CN"/>
        </w:rPr>
        <w:t>及</w:t>
      </w:r>
      <w:r>
        <w:rPr>
          <w:rFonts w:hint="default" w:ascii="Times New Roman" w:hAnsi="Times New Roman" w:cs="Times New Roman"/>
          <w:color w:val="auto"/>
          <w:sz w:val="24"/>
          <w:lang w:eastAsia="zh-CN"/>
        </w:rPr>
        <w:t>校准需注明的原则与环境条件</w:t>
      </w:r>
      <w:r>
        <w:rPr>
          <w:rFonts w:hint="default" w:ascii="Times New Roman" w:hAnsi="Times New Roman" w:cs="Times New Roman"/>
          <w:color w:val="auto"/>
          <w:sz w:val="24"/>
          <w:lang w:val="en-US" w:eastAsia="zh-CN"/>
        </w:rPr>
        <w:t>等</w:t>
      </w:r>
      <w:r>
        <w:rPr>
          <w:rFonts w:hint="default" w:ascii="Times New Roman" w:hAnsi="Times New Roman" w:cs="Times New Roman"/>
          <w:color w:val="auto"/>
          <w:sz w:val="24"/>
          <w:lang w:eastAsia="zh-CN"/>
        </w:rPr>
        <w:t>。</w:t>
      </w:r>
    </w:p>
    <w:p>
      <w:pPr>
        <w:pStyle w:val="3"/>
        <w:numPr>
          <w:ilvl w:val="0"/>
          <w:numId w:val="0"/>
        </w:numPr>
        <w:spacing w:before="156" w:beforeLines="50" w:after="156" w:afterLines="50" w:line="360" w:lineRule="auto"/>
        <w:ind w:right="240"/>
        <w:rPr>
          <w:rFonts w:hint="default" w:ascii="Times New Roman" w:hAnsi="Times New Roman" w:cs="Times New Roman"/>
          <w:b w:val="0"/>
          <w:color w:val="auto"/>
        </w:rPr>
      </w:pPr>
      <w:bookmarkStart w:id="179" w:name="_Toc28414"/>
      <w:bookmarkStart w:id="180" w:name="_Toc373339105"/>
      <w:bookmarkStart w:id="181" w:name="_Toc99526370"/>
      <w:bookmarkStart w:id="182" w:name="_Toc5167"/>
      <w:bookmarkStart w:id="183" w:name="_Toc373698950"/>
      <w:bookmarkStart w:id="184" w:name="_Toc146027215"/>
      <w:bookmarkStart w:id="185" w:name="_Toc3571"/>
      <w:bookmarkStart w:id="186" w:name="_Toc7264"/>
      <w:r>
        <w:rPr>
          <w:rFonts w:hint="default" w:ascii="Times New Roman" w:hAnsi="Times New Roman" w:cs="Times New Roman"/>
          <w:b w:val="0"/>
          <w:color w:val="auto"/>
        </w:rPr>
        <w:t>9  复</w:t>
      </w:r>
      <w:r>
        <w:rPr>
          <w:rFonts w:hint="default" w:ascii="Times New Roman" w:hAnsi="Times New Roman" w:cs="Times New Roman"/>
          <w:b w:val="0"/>
          <w:color w:val="auto"/>
          <w:lang w:val="en-US" w:eastAsia="zh-CN"/>
        </w:rPr>
        <w:t>核</w:t>
      </w:r>
      <w:r>
        <w:rPr>
          <w:rFonts w:hint="default" w:ascii="Times New Roman" w:hAnsi="Times New Roman" w:cs="Times New Roman"/>
          <w:b w:val="0"/>
          <w:color w:val="auto"/>
        </w:rPr>
        <w:t>时间间隔</w:t>
      </w:r>
      <w:bookmarkEnd w:id="179"/>
      <w:bookmarkEnd w:id="180"/>
      <w:bookmarkEnd w:id="181"/>
      <w:bookmarkEnd w:id="182"/>
      <w:bookmarkEnd w:id="183"/>
      <w:bookmarkEnd w:id="184"/>
      <w:bookmarkEnd w:id="185"/>
      <w:bookmarkEnd w:id="186"/>
    </w:p>
    <w:p>
      <w:pPr>
        <w:pStyle w:val="110"/>
        <w:snapToGrid w:val="0"/>
        <w:spacing w:line="360" w:lineRule="auto"/>
        <w:ind w:left="36" w:firstLine="448" w:firstLineChars="187"/>
        <w:rPr>
          <w:rFonts w:hint="default" w:ascii="Times New Roman" w:hAnsi="Times New Roman" w:cs="Times New Roman"/>
          <w:color w:val="auto"/>
          <w:sz w:val="24"/>
          <w:lang w:eastAsia="zh-CN"/>
        </w:rPr>
      </w:pPr>
      <w:r>
        <w:rPr>
          <w:rFonts w:hint="default" w:ascii="Times New Roman" w:hAnsi="Times New Roman" w:cs="Times New Roman"/>
          <w:color w:val="auto"/>
          <w:sz w:val="24"/>
        </w:rPr>
        <w:t>用户根据</w:t>
      </w:r>
      <w:r>
        <w:rPr>
          <w:rFonts w:hint="eastAsia" w:ascii="Times New Roman" w:hAnsi="Times New Roman" w:cs="Times New Roman"/>
          <w:color w:val="auto"/>
          <w:sz w:val="24"/>
          <w:lang w:val="en-US" w:eastAsia="zh-CN"/>
        </w:rPr>
        <w:t>放疗</w:t>
      </w:r>
      <w:r>
        <w:rPr>
          <w:rFonts w:hint="default" w:ascii="Times New Roman" w:hAnsi="Times New Roman" w:cs="Times New Roman"/>
          <w:color w:val="auto"/>
          <w:sz w:val="24"/>
          <w:lang w:val="en-US" w:eastAsia="zh-CN"/>
        </w:rPr>
        <w:t>束设备</w:t>
      </w:r>
      <w:r>
        <w:rPr>
          <w:rFonts w:hint="default" w:ascii="Times New Roman" w:hAnsi="Times New Roman" w:cs="Times New Roman"/>
          <w:color w:val="auto"/>
          <w:sz w:val="24"/>
        </w:rPr>
        <w:t>的使用情况确定复</w:t>
      </w:r>
      <w:r>
        <w:rPr>
          <w:rFonts w:hint="default" w:ascii="Times New Roman" w:hAnsi="Times New Roman" w:cs="Times New Roman"/>
          <w:color w:val="auto"/>
          <w:sz w:val="24"/>
          <w:lang w:val="en-US" w:eastAsia="zh-CN"/>
        </w:rPr>
        <w:t>校准</w:t>
      </w:r>
      <w:r>
        <w:rPr>
          <w:rFonts w:hint="default" w:ascii="Times New Roman" w:hAnsi="Times New Roman" w:cs="Times New Roman"/>
          <w:color w:val="auto"/>
          <w:sz w:val="24"/>
        </w:rPr>
        <w:t>时间的长短，</w:t>
      </w:r>
      <w:r>
        <w:rPr>
          <w:rFonts w:hint="default" w:ascii="Times New Roman" w:hAnsi="Times New Roman" w:cs="Times New Roman"/>
          <w:color w:val="auto"/>
          <w:sz w:val="24"/>
          <w:lang w:eastAsia="zh-CN"/>
        </w:rPr>
        <w:t>建议复</w:t>
      </w:r>
      <w:r>
        <w:rPr>
          <w:rFonts w:hint="default" w:ascii="Times New Roman" w:hAnsi="Times New Roman" w:cs="Times New Roman"/>
          <w:color w:val="auto"/>
          <w:sz w:val="24"/>
          <w:lang w:val="en-US" w:eastAsia="zh-CN"/>
        </w:rPr>
        <w:t>核</w:t>
      </w:r>
      <w:r>
        <w:rPr>
          <w:rFonts w:hint="default" w:ascii="Times New Roman" w:hAnsi="Times New Roman" w:cs="Times New Roman"/>
          <w:color w:val="auto"/>
          <w:sz w:val="24"/>
          <w:lang w:eastAsia="zh-CN"/>
        </w:rPr>
        <w:t>时间间隔不超过12个月。</w:t>
      </w:r>
    </w:p>
    <w:p>
      <w:pPr>
        <w:pStyle w:val="110"/>
        <w:snapToGrid w:val="0"/>
        <w:spacing w:line="360" w:lineRule="auto"/>
        <w:ind w:left="36" w:firstLine="448" w:firstLineChars="187"/>
        <w:rPr>
          <w:rFonts w:hint="default" w:ascii="Times New Roman" w:hAnsi="Times New Roman" w:cs="Times New Roman"/>
          <w:color w:val="auto"/>
          <w:sz w:val="24"/>
          <w:lang w:eastAsia="zh-CN"/>
        </w:rPr>
      </w:pPr>
    </w:p>
    <w:p>
      <w:pPr>
        <w:pStyle w:val="3"/>
        <w:numPr>
          <w:ilvl w:val="0"/>
          <w:numId w:val="0"/>
        </w:numPr>
        <w:spacing w:before="0" w:after="0" w:line="240" w:lineRule="auto"/>
        <w:ind w:right="240"/>
        <w:outlineLvl w:val="9"/>
        <w:rPr>
          <w:rFonts w:hint="default" w:ascii="Times New Roman" w:hAnsi="Times New Roman" w:cs="Times New Roman"/>
          <w:bCs w:val="0"/>
          <w:color w:val="auto"/>
          <w:sz w:val="28"/>
          <w:szCs w:val="28"/>
          <w:lang w:val="en-US"/>
        </w:rPr>
        <w:sectPr>
          <w:pgSz w:w="11906" w:h="16838"/>
          <w:pgMar w:top="1524" w:right="1274" w:bottom="567" w:left="1134" w:header="851" w:footer="992" w:gutter="0"/>
          <w:pgNumType w:start="1"/>
          <w:cols w:space="425" w:num="1"/>
          <w:docGrid w:type="lines" w:linePitch="312" w:charSpace="0"/>
        </w:sectPr>
      </w:pPr>
    </w:p>
    <w:p>
      <w:pPr>
        <w:pStyle w:val="3"/>
        <w:numPr>
          <w:ilvl w:val="0"/>
          <w:numId w:val="0"/>
        </w:numPr>
        <w:ind w:left="2520" w:right="240" w:hanging="2520" w:hangingChars="900"/>
        <w:rPr>
          <w:rFonts w:hint="default" w:ascii="Times New Roman" w:hAnsi="Times New Roman" w:cs="Times New Roman"/>
          <w:b w:val="0"/>
          <w:color w:val="auto"/>
          <w:sz w:val="28"/>
          <w:szCs w:val="28"/>
        </w:rPr>
      </w:pPr>
      <w:bookmarkStart w:id="187" w:name="_Toc373699211"/>
      <w:bookmarkStart w:id="188" w:name="_Toc373698954"/>
      <w:bookmarkStart w:id="189" w:name="_Toc373339109"/>
      <w:bookmarkStart w:id="190" w:name="_Toc28559"/>
      <w:bookmarkStart w:id="191" w:name="_Toc146027217"/>
      <w:bookmarkStart w:id="192" w:name="_Toc25917"/>
      <w:bookmarkStart w:id="193" w:name="_Toc26881"/>
      <w:bookmarkStart w:id="194" w:name="_Toc6389"/>
      <w:r>
        <w:rPr>
          <w:rFonts w:hint="default" w:ascii="Times New Roman" w:hAnsi="Times New Roman" w:cs="Times New Roman"/>
          <w:b w:val="0"/>
          <w:color w:val="auto"/>
          <w:sz w:val="28"/>
          <w:szCs w:val="28"/>
        </w:rPr>
        <w:t xml:space="preserve">附录 </w:t>
      </w:r>
      <w:bookmarkEnd w:id="187"/>
      <w:bookmarkEnd w:id="188"/>
      <w:bookmarkEnd w:id="189"/>
      <w:r>
        <w:rPr>
          <w:rFonts w:hint="default" w:ascii="Times New Roman" w:hAnsi="Times New Roman" w:cs="Times New Roman"/>
          <w:color w:val="auto"/>
          <w:sz w:val="28"/>
          <w:szCs w:val="28"/>
          <w:lang w:val="en-US" w:eastAsia="zh-CN"/>
        </w:rPr>
        <w:t>A</w:t>
      </w:r>
      <w:bookmarkEnd w:id="190"/>
      <w:r>
        <w:rPr>
          <w:rFonts w:hint="default" w:ascii="Times New Roman" w:hAnsi="Times New Roman" w:cs="Times New Roman"/>
          <w:b w:val="0"/>
          <w:color w:val="auto"/>
          <w:sz w:val="28"/>
          <w:szCs w:val="28"/>
        </w:rPr>
        <w:t xml:space="preserve"> </w:t>
      </w:r>
      <w:bookmarkStart w:id="195" w:name="_Toc426977708"/>
      <w:bookmarkStart w:id="196" w:name="_Toc426009635"/>
      <w:bookmarkStart w:id="197" w:name="_Toc373698955"/>
      <w:bookmarkStart w:id="198" w:name="_Toc373339110"/>
    </w:p>
    <w:bookmarkEnd w:id="191"/>
    <w:bookmarkEnd w:id="192"/>
    <w:bookmarkEnd w:id="193"/>
    <w:bookmarkEnd w:id="194"/>
    <w:bookmarkEnd w:id="195"/>
    <w:bookmarkEnd w:id="196"/>
    <w:bookmarkEnd w:id="197"/>
    <w:bookmarkEnd w:id="198"/>
    <w:p>
      <w:pPr>
        <w:pStyle w:val="3"/>
        <w:numPr>
          <w:ilvl w:val="0"/>
          <w:numId w:val="0"/>
        </w:numPr>
        <w:ind w:left="2520" w:right="240" w:hanging="2520" w:hangingChars="900"/>
        <w:jc w:val="center"/>
        <w:rPr>
          <w:rFonts w:hint="default" w:ascii="Times New Roman" w:hAnsi="Times New Roman" w:cs="Times New Roman"/>
          <w:b w:val="0"/>
          <w:bCs w:val="0"/>
          <w:color w:val="auto"/>
          <w:sz w:val="28"/>
          <w:szCs w:val="28"/>
          <w:lang w:val="en-US" w:eastAsia="zh-CN"/>
        </w:rPr>
      </w:pPr>
      <w:bookmarkStart w:id="199" w:name="_Toc25504"/>
      <w:bookmarkStart w:id="200" w:name="_Toc5581"/>
      <w:bookmarkStart w:id="201" w:name="_Toc3668"/>
      <w:bookmarkStart w:id="202" w:name="_Toc29652"/>
      <w:r>
        <w:rPr>
          <w:rFonts w:hint="default" w:ascii="Times New Roman" w:hAnsi="Times New Roman" w:cs="Times New Roman"/>
          <w:b w:val="0"/>
          <w:bCs w:val="0"/>
          <w:color w:val="auto"/>
          <w:sz w:val="28"/>
          <w:szCs w:val="28"/>
          <w:lang w:val="en-US" w:eastAsia="zh-CN"/>
        </w:rPr>
        <w:t>xxx外照射</w:t>
      </w:r>
      <w:r>
        <w:rPr>
          <w:rFonts w:hint="eastAsia" w:ascii="Times New Roman" w:hAnsi="Times New Roman" w:cs="Times New Roman"/>
          <w:b w:val="0"/>
          <w:bCs w:val="0"/>
          <w:color w:val="auto"/>
          <w:sz w:val="28"/>
          <w:szCs w:val="28"/>
          <w:lang w:val="en-US" w:eastAsia="zh-CN"/>
        </w:rPr>
        <w:t>放疗</w:t>
      </w:r>
      <w:r>
        <w:rPr>
          <w:rFonts w:hint="default" w:ascii="Times New Roman" w:hAnsi="Times New Roman" w:cs="Times New Roman"/>
          <w:b w:val="0"/>
          <w:bCs w:val="0"/>
          <w:color w:val="auto"/>
          <w:sz w:val="28"/>
          <w:szCs w:val="28"/>
          <w:lang w:val="en-US" w:eastAsia="zh-CN"/>
        </w:rPr>
        <w:t>束邮寄核验水吸收剂量</w:t>
      </w:r>
      <w:bookmarkEnd w:id="199"/>
      <w:bookmarkEnd w:id="200"/>
      <w:bookmarkEnd w:id="201"/>
      <w:bookmarkEnd w:id="202"/>
    </w:p>
    <w:p>
      <w:pPr>
        <w:jc w:val="center"/>
        <w:rPr>
          <w:rFonts w:hint="default" w:ascii="Times New Roman" w:hAnsi="Times New Roman" w:eastAsia="黑体" w:cs="Times New Roman"/>
          <w:b w:val="0"/>
          <w:bCs w:val="0"/>
          <w:color w:val="auto"/>
          <w:kern w:val="2"/>
          <w:sz w:val="28"/>
          <w:szCs w:val="28"/>
          <w:lang w:val="en-US" w:eastAsia="zh-CN" w:bidi="ar-SA"/>
        </w:rPr>
      </w:pPr>
      <w:r>
        <w:rPr>
          <w:rFonts w:hint="default" w:ascii="Times New Roman" w:hAnsi="Times New Roman" w:eastAsia="黑体" w:cs="Times New Roman"/>
          <w:b w:val="0"/>
          <w:bCs w:val="0"/>
          <w:color w:val="auto"/>
          <w:kern w:val="2"/>
          <w:sz w:val="28"/>
          <w:szCs w:val="28"/>
          <w:lang w:val="en-US" w:eastAsia="zh-CN" w:bidi="ar-SA"/>
        </w:rPr>
        <w:t>数  据  登  记  表</w:t>
      </w:r>
    </w:p>
    <w:p>
      <w:pPr>
        <w:spacing w:line="360" w:lineRule="auto"/>
        <w:jc w:val="center"/>
        <w:rPr>
          <w:rFonts w:hint="default" w:ascii="Times New Roman" w:hAnsi="Times New Roman" w:cs="Times New Roman"/>
          <w:color w:val="auto"/>
          <w:sz w:val="28"/>
          <w:szCs w:val="28"/>
        </w:rPr>
      </w:pPr>
    </w:p>
    <w:tbl>
      <w:tblPr>
        <w:tblStyle w:val="89"/>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2844"/>
        <w:gridCol w:w="1449"/>
        <w:gridCol w:w="3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7" w:type="pct"/>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参加单位：</w:t>
            </w:r>
          </w:p>
        </w:tc>
        <w:tc>
          <w:tcPr>
            <w:tcW w:w="4252" w:type="pct"/>
            <w:gridSpan w:val="3"/>
            <w:tcBorders>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7" w:type="pct"/>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填表人：</w:t>
            </w:r>
          </w:p>
        </w:tc>
        <w:tc>
          <w:tcPr>
            <w:tcW w:w="1464" w:type="pct"/>
            <w:tcBorders>
              <w:top w:val="single" w:color="auto" w:sz="4" w:space="0"/>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c>
          <w:tcPr>
            <w:tcW w:w="746" w:type="pct"/>
            <w:tcBorders>
              <w:top w:val="single" w:color="auto" w:sz="4" w:space="0"/>
            </w:tcBorders>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填表日期：</w:t>
            </w:r>
          </w:p>
        </w:tc>
        <w:tc>
          <w:tcPr>
            <w:tcW w:w="2041" w:type="pct"/>
            <w:tcBorders>
              <w:top w:val="single" w:color="auto" w:sz="4" w:space="0"/>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7" w:type="pct"/>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联系电话：</w:t>
            </w:r>
          </w:p>
        </w:tc>
        <w:tc>
          <w:tcPr>
            <w:tcW w:w="1464" w:type="pct"/>
            <w:tcBorders>
              <w:top w:val="single" w:color="auto" w:sz="4" w:space="0"/>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c>
          <w:tcPr>
            <w:tcW w:w="746" w:type="pct"/>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单位地址：</w:t>
            </w:r>
          </w:p>
        </w:tc>
        <w:tc>
          <w:tcPr>
            <w:tcW w:w="2041" w:type="pct"/>
            <w:tcBorders>
              <w:top w:val="single" w:color="auto" w:sz="4" w:space="0"/>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r>
    </w:tbl>
    <w:p>
      <w:pPr>
        <w:spacing w:line="360" w:lineRule="auto"/>
        <w:jc w:val="left"/>
        <w:rPr>
          <w:rFonts w:hint="default" w:ascii="Times New Roman" w:hAnsi="Times New Roman" w:cs="Times New Roman"/>
          <w:color w:val="auto"/>
          <w:sz w:val="21"/>
          <w:szCs w:val="21"/>
        </w:rPr>
      </w:pPr>
    </w:p>
    <w:p>
      <w:pPr>
        <w:numPr>
          <w:ilvl w:val="0"/>
          <w:numId w:val="0"/>
        </w:numPr>
        <w:spacing w:line="360" w:lineRule="auto"/>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A.1 辐射源性质</w:t>
      </w:r>
    </w:p>
    <w:tbl>
      <w:tblPr>
        <w:tblStyle w:val="8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88"/>
        <w:gridCol w:w="60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98" w:type="pct"/>
          </w:tcPr>
          <w:p>
            <w:pPr>
              <w:numPr>
                <w:ilvl w:val="0"/>
                <w:numId w:val="0"/>
              </w:numPr>
              <w:spacing w:line="360" w:lineRule="auto"/>
              <w:jc w:val="distribute"/>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治疗机型号及厂商：</w:t>
            </w:r>
          </w:p>
        </w:tc>
        <w:tc>
          <w:tcPr>
            <w:tcW w:w="3101" w:type="pct"/>
            <w:tcBorders>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98" w:type="pct"/>
          </w:tcPr>
          <w:p>
            <w:pPr>
              <w:numPr>
                <w:ilvl w:val="0"/>
                <w:numId w:val="0"/>
              </w:numPr>
              <w:spacing w:line="360" w:lineRule="auto"/>
              <w:jc w:val="distribute"/>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治疗机安装日期：</w:t>
            </w:r>
          </w:p>
        </w:tc>
        <w:tc>
          <w:tcPr>
            <w:tcW w:w="3101" w:type="pct"/>
            <w:tcBorders>
              <w:top w:val="single" w:color="auto" w:sz="4" w:space="0"/>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98" w:type="pct"/>
          </w:tcPr>
          <w:p>
            <w:pPr>
              <w:numPr>
                <w:ilvl w:val="0"/>
                <w:numId w:val="0"/>
              </w:numPr>
              <w:spacing w:line="360" w:lineRule="auto"/>
              <w:jc w:val="distribute"/>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标称能量及剂量率范围：</w:t>
            </w:r>
          </w:p>
        </w:tc>
        <w:tc>
          <w:tcPr>
            <w:tcW w:w="3101" w:type="pct"/>
            <w:tcBorders>
              <w:top w:val="single" w:color="auto" w:sz="4" w:space="0"/>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98" w:type="pct"/>
          </w:tcPr>
          <w:p>
            <w:pPr>
              <w:numPr>
                <w:ilvl w:val="0"/>
                <w:numId w:val="0"/>
              </w:numPr>
              <w:spacing w:line="360" w:lineRule="auto"/>
              <w:jc w:val="distribute"/>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是否检修过，最近一次检修日期：</w:t>
            </w:r>
          </w:p>
        </w:tc>
        <w:tc>
          <w:tcPr>
            <w:tcW w:w="3101" w:type="pct"/>
            <w:tcBorders>
              <w:top w:val="single" w:color="auto" w:sz="4" w:space="0"/>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bl>
    <w:p>
      <w:pPr>
        <w:spacing w:line="360" w:lineRule="auto"/>
        <w:jc w:val="left"/>
        <w:rPr>
          <w:rFonts w:hint="default" w:ascii="Times New Roman" w:hAnsi="Times New Roman" w:cs="Times New Roman"/>
          <w:color w:val="auto"/>
          <w:sz w:val="21"/>
          <w:szCs w:val="21"/>
          <w:lang w:val="en-US" w:eastAsia="zh-CN"/>
        </w:rPr>
      </w:pPr>
    </w:p>
    <w:p>
      <w:pPr>
        <w:numPr>
          <w:ilvl w:val="0"/>
          <w:numId w:val="0"/>
        </w:numPr>
        <w:spacing w:line="360" w:lineRule="auto"/>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A.2 治疗机输出剂量测量情况</w:t>
      </w:r>
    </w:p>
    <w:tbl>
      <w:tblPr>
        <w:tblStyle w:val="8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89"/>
        <w:gridCol w:w="1451"/>
        <w:gridCol w:w="64"/>
        <w:gridCol w:w="1461"/>
        <w:gridCol w:w="1706"/>
        <w:gridCol w:w="1325"/>
        <w:gridCol w:w="1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68" w:type="pct"/>
            <w:gridSpan w:val="2"/>
          </w:tcPr>
          <w:p>
            <w:pPr>
              <w:numPr>
                <w:ilvl w:val="0"/>
                <w:numId w:val="0"/>
              </w:numPr>
              <w:spacing w:line="360" w:lineRule="auto"/>
              <w:jc w:val="distribute"/>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测量仪表型号及厂商：</w:t>
            </w:r>
          </w:p>
        </w:tc>
        <w:tc>
          <w:tcPr>
            <w:tcW w:w="3331" w:type="pct"/>
            <w:gridSpan w:val="5"/>
            <w:tcBorders>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68" w:type="pct"/>
            <w:gridSpan w:val="2"/>
          </w:tcPr>
          <w:p>
            <w:pPr>
              <w:numPr>
                <w:ilvl w:val="0"/>
                <w:numId w:val="0"/>
              </w:numPr>
              <w:spacing w:line="360" w:lineRule="auto"/>
              <w:jc w:val="distribute"/>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最近一次校准因子及时间：</w:t>
            </w:r>
          </w:p>
        </w:tc>
        <w:tc>
          <w:tcPr>
            <w:tcW w:w="3331" w:type="pct"/>
            <w:gridSpan w:val="5"/>
            <w:tcBorders>
              <w:top w:val="single" w:color="auto" w:sz="4" w:space="0"/>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gridSpan w:val="7"/>
            <w:tcBorders>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最近一次测量输出剂量的条件：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 w:type="pct"/>
            <w:tcBorders>
              <w:top w:val="nil"/>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源表距（SSD）：</w:t>
            </w:r>
          </w:p>
        </w:tc>
        <w:tc>
          <w:tcPr>
            <w:tcW w:w="780" w:type="pct"/>
            <w:gridSpan w:val="2"/>
            <w:tcBorders>
              <w:top w:val="nil"/>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cm</w:t>
            </w:r>
          </w:p>
        </w:tc>
        <w:tc>
          <w:tcPr>
            <w:tcW w:w="752" w:type="pct"/>
            <w:tcBorders>
              <w:top w:val="nil"/>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辐射野：</w:t>
            </w:r>
          </w:p>
        </w:tc>
        <w:tc>
          <w:tcPr>
            <w:tcW w:w="878" w:type="pct"/>
            <w:tcBorders>
              <w:top w:val="nil"/>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eastAsia" w:cs="Times New Roman"/>
                <w:color w:val="auto"/>
                <w:sz w:val="24"/>
                <w:szCs w:val="24"/>
                <w:vertAlign w:val="baseline"/>
                <w:lang w:val="en-US" w:eastAsia="zh-CN"/>
              </w:rPr>
              <w:t xml:space="preserve">cm×   </w:t>
            </w:r>
            <w:r>
              <w:rPr>
                <w:rFonts w:hint="default" w:ascii="Times New Roman" w:hAnsi="Times New Roman" w:cs="Times New Roman"/>
                <w:color w:val="auto"/>
                <w:sz w:val="24"/>
                <w:szCs w:val="24"/>
                <w:vertAlign w:val="baseline"/>
                <w:lang w:val="en-US" w:eastAsia="zh-CN"/>
              </w:rPr>
              <w:t>cm</w:t>
            </w:r>
          </w:p>
        </w:tc>
        <w:tc>
          <w:tcPr>
            <w:tcW w:w="682" w:type="pct"/>
            <w:tcBorders>
              <w:top w:val="nil"/>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测量介质：</w:t>
            </w:r>
          </w:p>
        </w:tc>
        <w:tc>
          <w:tcPr>
            <w:tcW w:w="984" w:type="pct"/>
            <w:tcBorders>
              <w:top w:val="nil"/>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 w:type="pct"/>
            <w:tcBorders>
              <w:top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温度：</w:t>
            </w:r>
          </w:p>
        </w:tc>
        <w:tc>
          <w:tcPr>
            <w:tcW w:w="780" w:type="pct"/>
            <w:gridSpan w:val="2"/>
            <w:tcBorders>
              <w:top w:val="single" w:color="auto" w:sz="4" w:space="0"/>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p>
        </w:tc>
        <w:tc>
          <w:tcPr>
            <w:tcW w:w="752" w:type="pct"/>
            <w:tcBorders>
              <w:top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气压：</w:t>
            </w:r>
          </w:p>
        </w:tc>
        <w:tc>
          <w:tcPr>
            <w:tcW w:w="878" w:type="pct"/>
            <w:tcBorders>
              <w:top w:val="single" w:color="auto" w:sz="4" w:space="0"/>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kPa</w:t>
            </w:r>
          </w:p>
        </w:tc>
        <w:tc>
          <w:tcPr>
            <w:tcW w:w="682" w:type="pct"/>
            <w:tcBorders>
              <w:top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测量日期：</w:t>
            </w:r>
          </w:p>
        </w:tc>
        <w:tc>
          <w:tcPr>
            <w:tcW w:w="984" w:type="pct"/>
            <w:tcBorders>
              <w:top w:val="single" w:color="auto" w:sz="4" w:space="0"/>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bl>
    <w:p>
      <w:pPr>
        <w:numPr>
          <w:ilvl w:val="0"/>
          <w:numId w:val="0"/>
        </w:numPr>
        <w:spacing w:line="360" w:lineRule="auto"/>
        <w:jc w:val="left"/>
        <w:rPr>
          <w:rFonts w:hint="default" w:ascii="Times New Roman" w:hAnsi="Times New Roman" w:cs="Times New Roman"/>
          <w:color w:val="auto"/>
          <w:sz w:val="21"/>
          <w:szCs w:val="21"/>
          <w:lang w:val="en-US" w:eastAsia="zh-CN"/>
        </w:rPr>
      </w:pPr>
    </w:p>
    <w:p>
      <w:pPr>
        <w:numPr>
          <w:ilvl w:val="0"/>
          <w:numId w:val="0"/>
        </w:numPr>
        <w:spacing w:line="360" w:lineRule="auto"/>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A.3固体剂量计辐照情况</w:t>
      </w:r>
    </w:p>
    <w:tbl>
      <w:tblPr>
        <w:tblStyle w:val="8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90"/>
        <w:gridCol w:w="1516"/>
        <w:gridCol w:w="1462"/>
        <w:gridCol w:w="1707"/>
        <w:gridCol w:w="1326"/>
        <w:gridCol w:w="1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 w:type="pct"/>
            <w:tcBorders>
              <w:top w:val="nil"/>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源表距（SSD）：</w:t>
            </w:r>
          </w:p>
        </w:tc>
        <w:tc>
          <w:tcPr>
            <w:tcW w:w="780" w:type="pct"/>
            <w:tcBorders>
              <w:top w:val="nil"/>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cm</w:t>
            </w:r>
          </w:p>
        </w:tc>
        <w:tc>
          <w:tcPr>
            <w:tcW w:w="752" w:type="pct"/>
            <w:tcBorders>
              <w:top w:val="nil"/>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辐射野：</w:t>
            </w:r>
          </w:p>
        </w:tc>
        <w:tc>
          <w:tcPr>
            <w:tcW w:w="878" w:type="pct"/>
            <w:tcBorders>
              <w:top w:val="nil"/>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cm</w:t>
            </w:r>
            <w:r>
              <w:rPr>
                <w:rFonts w:hint="default" w:ascii="Times New Roman" w:hAnsi="Times New Roman" w:cs="Times New Roman"/>
                <w:color w:val="auto"/>
                <w:sz w:val="24"/>
                <w:szCs w:val="24"/>
                <w:vertAlign w:val="superscript"/>
                <w:lang w:val="en-US" w:eastAsia="zh-CN"/>
              </w:rPr>
              <w:t>2</w:t>
            </w:r>
          </w:p>
        </w:tc>
        <w:tc>
          <w:tcPr>
            <w:tcW w:w="682" w:type="pct"/>
            <w:tcBorders>
              <w:top w:val="nil"/>
              <w:bottom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测量介质：</w:t>
            </w:r>
          </w:p>
        </w:tc>
        <w:tc>
          <w:tcPr>
            <w:tcW w:w="984" w:type="pct"/>
            <w:tcBorders>
              <w:top w:val="nil"/>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 w:type="pct"/>
            <w:tcBorders>
              <w:top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温度：</w:t>
            </w:r>
          </w:p>
        </w:tc>
        <w:tc>
          <w:tcPr>
            <w:tcW w:w="780" w:type="pct"/>
            <w:tcBorders>
              <w:top w:val="single" w:color="auto" w:sz="4" w:space="0"/>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w:t>
            </w:r>
          </w:p>
        </w:tc>
        <w:tc>
          <w:tcPr>
            <w:tcW w:w="752" w:type="pct"/>
            <w:tcBorders>
              <w:top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气压：</w:t>
            </w:r>
          </w:p>
        </w:tc>
        <w:tc>
          <w:tcPr>
            <w:tcW w:w="878" w:type="pct"/>
            <w:tcBorders>
              <w:top w:val="single" w:color="auto" w:sz="4" w:space="0"/>
              <w:bottom w:val="single" w:color="auto" w:sz="4" w:space="0"/>
            </w:tcBorders>
          </w:tcPr>
          <w:p>
            <w:pPr>
              <w:numPr>
                <w:ilvl w:val="0"/>
                <w:numId w:val="0"/>
              </w:numPr>
              <w:spacing w:line="360" w:lineRule="auto"/>
              <w:jc w:val="righ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kPa</w:t>
            </w:r>
          </w:p>
        </w:tc>
        <w:tc>
          <w:tcPr>
            <w:tcW w:w="682" w:type="pct"/>
            <w:tcBorders>
              <w:top w:val="nil"/>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辐照日期：</w:t>
            </w:r>
          </w:p>
        </w:tc>
        <w:tc>
          <w:tcPr>
            <w:tcW w:w="984" w:type="pct"/>
            <w:tcBorders>
              <w:top w:val="single" w:color="auto" w:sz="4" w:space="0"/>
              <w:bottom w:val="single" w:color="auto" w:sz="4" w:space="0"/>
            </w:tcBorders>
          </w:tcPr>
          <w:p>
            <w:pPr>
              <w:numPr>
                <w:ilvl w:val="0"/>
                <w:numId w:val="0"/>
              </w:numPr>
              <w:spacing w:line="360" w:lineRule="auto"/>
              <w:jc w:val="left"/>
              <w:rPr>
                <w:rFonts w:hint="default" w:ascii="Times New Roman" w:hAnsi="Times New Roman" w:cs="Times New Roman"/>
                <w:color w:val="auto"/>
                <w:sz w:val="24"/>
                <w:szCs w:val="24"/>
                <w:vertAlign w:val="baseline"/>
                <w:lang w:val="en-US" w:eastAsia="zh-CN"/>
              </w:rPr>
            </w:pPr>
          </w:p>
        </w:tc>
      </w:tr>
    </w:tbl>
    <w:p>
      <w:pPr>
        <w:ind w:firstLine="2640" w:firstLineChars="1100"/>
        <w:rPr>
          <w:rFonts w:hint="default" w:ascii="Times New Roman" w:hAnsi="Times New Roman" w:cs="Times New Roman"/>
          <w:color w:val="auto"/>
        </w:rPr>
      </w:pPr>
    </w:p>
    <w:tbl>
      <w:tblPr>
        <w:tblStyle w:val="8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9"/>
        <w:gridCol w:w="1847"/>
        <w:gridCol w:w="1848"/>
        <w:gridCol w:w="1848"/>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固体剂量计编号：</w:t>
            </w:r>
          </w:p>
        </w:tc>
        <w:tc>
          <w:tcPr>
            <w:tcW w:w="951"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1</w:t>
            </w:r>
          </w:p>
        </w:tc>
        <w:tc>
          <w:tcPr>
            <w:tcW w:w="951"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2</w:t>
            </w:r>
          </w:p>
        </w:tc>
        <w:tc>
          <w:tcPr>
            <w:tcW w:w="951"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3</w:t>
            </w:r>
          </w:p>
        </w:tc>
        <w:tc>
          <w:tcPr>
            <w:tcW w:w="951"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辐照时间：</w:t>
            </w:r>
          </w:p>
        </w:tc>
        <w:tc>
          <w:tcPr>
            <w:tcW w:w="951" w:type="pct"/>
            <w:vAlign w:val="center"/>
          </w:tcPr>
          <w:p>
            <w:pPr>
              <w:jc w:val="center"/>
              <w:rPr>
                <w:rFonts w:hint="default" w:ascii="Times New Roman" w:hAnsi="Times New Roman" w:cs="Times New Roman"/>
                <w:color w:val="auto"/>
                <w:vertAlign w:val="baseline"/>
              </w:rPr>
            </w:pPr>
          </w:p>
        </w:tc>
        <w:tc>
          <w:tcPr>
            <w:tcW w:w="951" w:type="pct"/>
            <w:vAlign w:val="center"/>
          </w:tcPr>
          <w:p>
            <w:pPr>
              <w:jc w:val="center"/>
              <w:rPr>
                <w:rFonts w:hint="default" w:ascii="Times New Roman" w:hAnsi="Times New Roman" w:cs="Times New Roman"/>
                <w:color w:val="auto"/>
                <w:vertAlign w:val="baseline"/>
              </w:rPr>
            </w:pPr>
          </w:p>
        </w:tc>
        <w:tc>
          <w:tcPr>
            <w:tcW w:w="951" w:type="pct"/>
            <w:vAlign w:val="center"/>
          </w:tcPr>
          <w:p>
            <w:pPr>
              <w:jc w:val="center"/>
              <w:rPr>
                <w:rFonts w:hint="default" w:ascii="Times New Roman" w:hAnsi="Times New Roman" w:cs="Times New Roman"/>
                <w:color w:val="auto"/>
                <w:vertAlign w:val="baseline"/>
              </w:rPr>
            </w:pPr>
          </w:p>
        </w:tc>
        <w:tc>
          <w:tcPr>
            <w:tcW w:w="951" w:type="pct"/>
            <w:vAlign w:val="center"/>
          </w:tcPr>
          <w:p>
            <w:pPr>
              <w:jc w:val="center"/>
              <w:rPr>
                <w:rFonts w:hint="default" w:ascii="Times New Roman" w:hAnsi="Times New Roman" w:cs="Times New Roman"/>
                <w:color w:val="auto"/>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pct"/>
            <w:vAlign w:val="center"/>
          </w:tcPr>
          <w:p>
            <w:pPr>
              <w:jc w:val="cente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辐照剂量 / Gy：</w:t>
            </w:r>
          </w:p>
        </w:tc>
        <w:tc>
          <w:tcPr>
            <w:tcW w:w="951" w:type="pct"/>
            <w:vAlign w:val="center"/>
          </w:tcPr>
          <w:p>
            <w:pPr>
              <w:jc w:val="center"/>
              <w:rPr>
                <w:rFonts w:hint="default" w:ascii="Times New Roman" w:hAnsi="Times New Roman" w:cs="Times New Roman"/>
                <w:color w:val="auto"/>
                <w:vertAlign w:val="baseline"/>
              </w:rPr>
            </w:pPr>
          </w:p>
        </w:tc>
        <w:tc>
          <w:tcPr>
            <w:tcW w:w="951" w:type="pct"/>
            <w:vAlign w:val="center"/>
          </w:tcPr>
          <w:p>
            <w:pPr>
              <w:jc w:val="center"/>
              <w:rPr>
                <w:rFonts w:hint="default" w:ascii="Times New Roman" w:hAnsi="Times New Roman" w:cs="Times New Roman"/>
                <w:color w:val="auto"/>
                <w:vertAlign w:val="baseline"/>
              </w:rPr>
            </w:pPr>
          </w:p>
        </w:tc>
        <w:tc>
          <w:tcPr>
            <w:tcW w:w="951" w:type="pct"/>
            <w:vAlign w:val="center"/>
          </w:tcPr>
          <w:p>
            <w:pPr>
              <w:jc w:val="center"/>
              <w:rPr>
                <w:rFonts w:hint="default" w:ascii="Times New Roman" w:hAnsi="Times New Roman" w:cs="Times New Roman"/>
                <w:color w:val="auto"/>
                <w:vertAlign w:val="baseline"/>
              </w:rPr>
            </w:pPr>
          </w:p>
        </w:tc>
        <w:tc>
          <w:tcPr>
            <w:tcW w:w="951" w:type="pct"/>
            <w:vAlign w:val="center"/>
          </w:tcPr>
          <w:p>
            <w:pPr>
              <w:jc w:val="center"/>
              <w:rPr>
                <w:rFonts w:hint="default" w:ascii="Times New Roman" w:hAnsi="Times New Roman" w:cs="Times New Roman"/>
                <w:color w:val="auto"/>
                <w:vertAlign w:val="baseline"/>
              </w:rPr>
            </w:pPr>
          </w:p>
        </w:tc>
      </w:tr>
    </w:tbl>
    <w:p>
      <w:pPr>
        <w:ind w:firstLine="2640" w:firstLineChars="1100"/>
        <w:rPr>
          <w:rFonts w:hint="default" w:ascii="Times New Roman" w:hAnsi="Times New Roman" w:cs="Times New Roman"/>
          <w:color w:val="auto"/>
        </w:rPr>
      </w:pPr>
    </w:p>
    <w:p>
      <w:pPr>
        <w:numPr>
          <w:ilvl w:val="0"/>
          <w:numId w:val="0"/>
        </w:numPr>
        <w:spacing w:line="360" w:lineRule="auto"/>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A.4水吸收剂量计算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电离室剂量计校准外照射治疗束水吸收剂量应采用公式（A.1）计算。</w:t>
      </w:r>
    </w:p>
    <w:tbl>
      <w:tblPr>
        <w:tblStyle w:val="8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74"/>
        <w:gridCol w:w="5335"/>
        <w:gridCol w:w="2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74"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w:p>
        </w:tc>
        <w:tc>
          <w:tcPr>
            <w:tcW w:w="5335"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cs="Times New Roman"/>
                <w:i w:val="0"/>
                <w:color w:val="auto"/>
                <w:kern w:val="28"/>
                <w:sz w:val="24"/>
                <w:szCs w:val="24"/>
                <w:vertAlign w:val="baseline"/>
                <w:lang w:val="en-US" w:eastAsia="zh-CN" w:bidi="ar-SA"/>
              </w:rPr>
            </w:pPr>
            <m:oMathPara>
              <m:oMath>
                <m:sSub>
                  <m:sSubPr>
                    <m:ctrlPr>
                      <w:rPr>
                        <w:rFonts w:hint="default" w:ascii="Cambria Math" w:hAnsi="Cambria Math" w:cs="Times New Roman"/>
                        <w:i/>
                        <w:color w:val="auto"/>
                      </w:rPr>
                    </m:ctrlPr>
                  </m:sSubPr>
                  <m:e>
                    <m:r>
                      <m:rPr/>
                      <w:rPr>
                        <w:rFonts w:hint="default" w:ascii="Cambria Math" w:hAnsi="Cambria Math" w:cs="Times New Roman"/>
                        <w:color w:val="auto"/>
                      </w:rPr>
                      <m:t>D</m:t>
                    </m:r>
                    <m:ctrlPr>
                      <w:rPr>
                        <w:rFonts w:hint="default" w:ascii="Cambria Math" w:hAnsi="Cambria Math" w:cs="Times New Roman"/>
                        <w:i/>
                        <w:color w:val="auto"/>
                      </w:rPr>
                    </m:ctrlPr>
                  </m:e>
                  <m:sub>
                    <m:r>
                      <m:rPr/>
                      <w:rPr>
                        <w:rFonts w:hint="default" w:ascii="Cambria Math" w:hAnsi="Cambria Math" w:cs="Times New Roman"/>
                        <w:color w:val="auto"/>
                      </w:rPr>
                      <m:t>w</m:t>
                    </m:r>
                    <m:ctrlPr>
                      <w:rPr>
                        <w:rFonts w:hint="default" w:ascii="Cambria Math" w:hAnsi="Cambria Math" w:cs="Times New Roman"/>
                        <w:i/>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rPr>
                      <m:t>M</m:t>
                    </m:r>
                    <m:ctrlPr>
                      <w:rPr>
                        <w:rFonts w:hint="default" w:ascii="Cambria Math" w:hAnsi="Cambria Math" w:cs="Times New Roman"/>
                        <w:i/>
                        <w:color w:val="auto"/>
                      </w:rPr>
                    </m:ctrlPr>
                  </m:e>
                  <m:sub>
                    <m:r>
                      <m:rPr>
                        <m:nor/>
                        <m:sty m:val="p"/>
                      </m:rPr>
                      <w:rPr>
                        <w:rFonts w:hint="default" w:ascii="Cambria Math" w:hAnsi="Cambria Math" w:cs="Times New Roman"/>
                        <w:b w:val="0"/>
                        <w:i w:val="0"/>
                        <w:color w:val="auto"/>
                      </w:rPr>
                      <m:t>raw</m:t>
                    </m:r>
                    <m:ctrlPr>
                      <w:rPr>
                        <w:rFonts w:hint="default" w:ascii="Cambria Math" w:hAnsi="Cambria Math" w:cs="Times New Roman"/>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lang w:val="en-US" w:eastAsia="zh-CN"/>
                      </w:rPr>
                      <m:t>N</m:t>
                    </m:r>
                    <m:ctrlPr>
                      <w:rPr>
                        <w:rFonts w:hint="default" w:ascii="Cambria Math" w:hAnsi="Cambria Math" w:cs="Times New Roman"/>
                        <w:i/>
                        <w:color w:val="auto"/>
                      </w:rPr>
                    </m:ctrlPr>
                  </m:e>
                  <m:sub>
                    <m:r>
                      <m:rPr/>
                      <w:rPr>
                        <w:rFonts w:hint="default" w:ascii="Cambria Math" w:hAnsi="Cambria Math" w:cs="Times New Roman"/>
                        <w:color w:val="auto"/>
                        <w:lang w:val="en-US" w:eastAsia="zh-CN"/>
                      </w:rPr>
                      <m:t>D,w</m:t>
                    </m:r>
                    <m:ctrlPr>
                      <w:rPr>
                        <w:rFonts w:hint="default" w:ascii="Cambria Math" w:hAnsi="Cambria Math" w:cs="Times New Roman"/>
                        <w:i/>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rPr>
                      <m:t>k</m:t>
                    </m:r>
                    <m:ctrlPr>
                      <w:rPr>
                        <w:rFonts w:hint="default" w:ascii="Cambria Math" w:hAnsi="Cambria Math" w:cs="Times New Roman"/>
                        <w:i/>
                        <w:color w:val="auto"/>
                      </w:rPr>
                    </m:ctrlPr>
                  </m:e>
                  <m:sub>
                    <m:r>
                      <m:rPr/>
                      <w:rPr>
                        <w:rFonts w:hint="default" w:ascii="Cambria Math" w:hAnsi="Cambria Math" w:cs="Times New Roman"/>
                        <w:color w:val="auto"/>
                      </w:rPr>
                      <m:t>TP</m:t>
                    </m:r>
                    <m:ctrlPr>
                      <w:rPr>
                        <w:rFonts w:hint="default" w:ascii="Cambria Math" w:hAnsi="Cambria Math" w:cs="Times New Roman"/>
                        <w:i/>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rPr>
                      <m:t>k</m:t>
                    </m:r>
                    <m:ctrlPr>
                      <w:rPr>
                        <w:rFonts w:hint="default" w:ascii="Cambria Math" w:hAnsi="Cambria Math" w:cs="Times New Roman"/>
                        <w:i/>
                        <w:color w:val="auto"/>
                      </w:rPr>
                    </m:ctrlPr>
                  </m:e>
                  <m:sub>
                    <m:r>
                      <m:rPr>
                        <m:nor/>
                        <m:sty m:val="p"/>
                      </m:rPr>
                      <w:rPr>
                        <w:rFonts w:hint="default" w:ascii="Cambria Math" w:hAnsi="Cambria Math" w:cs="Times New Roman"/>
                        <w:b w:val="0"/>
                        <w:i w:val="0"/>
                        <w:color w:val="auto"/>
                      </w:rPr>
                      <m:t>pol</m:t>
                    </m:r>
                    <m:ctrlPr>
                      <w:rPr>
                        <w:rFonts w:hint="default" w:ascii="Cambria Math" w:hAnsi="Cambria Math" w:cs="Times New Roman"/>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rPr>
                      <m:t>k</m:t>
                    </m:r>
                    <m:ctrlPr>
                      <w:rPr>
                        <w:rFonts w:hint="default" w:ascii="Cambria Math" w:hAnsi="Cambria Math" w:cs="Times New Roman"/>
                        <w:i/>
                        <w:color w:val="auto"/>
                      </w:rPr>
                    </m:ctrlPr>
                  </m:e>
                  <m:sub>
                    <m:r>
                      <m:rPr/>
                      <w:rPr>
                        <w:rFonts w:hint="default" w:ascii="Cambria Math" w:hAnsi="Cambria Math" w:cs="Times New Roman"/>
                        <w:color w:val="auto"/>
                        <w:lang w:val="en-US" w:eastAsia="zh-CN"/>
                      </w:rPr>
                      <m:t>elec</m:t>
                    </m:r>
                    <m:ctrlPr>
                      <w:rPr>
                        <w:rFonts w:hint="default" w:ascii="Cambria Math" w:hAnsi="Cambria Math" w:cs="Times New Roman"/>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rPr>
                      <m:t>k</m:t>
                    </m:r>
                    <m:ctrlPr>
                      <w:rPr>
                        <w:rFonts w:hint="default" w:ascii="Cambria Math" w:hAnsi="Cambria Math" w:cs="Times New Roman"/>
                        <w:i/>
                        <w:color w:val="auto"/>
                      </w:rPr>
                    </m:ctrlPr>
                  </m:e>
                  <m:sub>
                    <m:r>
                      <m:rPr/>
                      <w:rPr>
                        <w:rFonts w:hint="default" w:ascii="Cambria Math" w:hAnsi="Cambria Math" w:cs="Times New Roman"/>
                        <w:color w:val="auto"/>
                      </w:rPr>
                      <m:t>s</m:t>
                    </m:r>
                    <m:ctrlPr>
                      <w:rPr>
                        <w:rFonts w:hint="default" w:ascii="Cambria Math" w:hAnsi="Cambria Math" w:cs="Times New Roman"/>
                        <w:i/>
                        <w:color w:val="auto"/>
                      </w:rPr>
                    </m:ctrlPr>
                  </m:sub>
                </m:sSub>
                <m:r>
                  <m:rPr/>
                  <w:rPr>
                    <w:rFonts w:hint="default" w:ascii="Cambria Math" w:hAnsi="Cambria Math" w:cs="Times New Roman"/>
                    <w:color w:val="auto"/>
                  </w:rPr>
                  <m:t>⋅</m:t>
                </m:r>
                <m:sSub>
                  <m:sSubPr>
                    <m:ctrlPr>
                      <w:rPr>
                        <w:rFonts w:hint="default" w:ascii="Cambria Math" w:hAnsi="Cambria Math" w:cs="Times New Roman"/>
                        <w:i/>
                        <w:color w:val="auto"/>
                      </w:rPr>
                    </m:ctrlPr>
                  </m:sSubPr>
                  <m:e>
                    <m:r>
                      <m:rPr/>
                      <w:rPr>
                        <w:rFonts w:hint="default" w:ascii="Cambria Math" w:hAnsi="Cambria Math" w:cs="Times New Roman"/>
                        <w:color w:val="auto"/>
                      </w:rPr>
                      <m:t>k</m:t>
                    </m:r>
                    <m:ctrlPr>
                      <w:rPr>
                        <w:rFonts w:hint="default" w:ascii="Cambria Math" w:hAnsi="Cambria Math" w:cs="Times New Roman"/>
                        <w:i/>
                        <w:color w:val="auto"/>
                      </w:rPr>
                    </m:ctrlPr>
                  </m:e>
                  <m:sub>
                    <m:r>
                      <m:rPr/>
                      <w:rPr>
                        <w:rFonts w:hint="default" w:ascii="Cambria Math" w:hAnsi="Cambria Math" w:cs="Times New Roman"/>
                        <w:color w:val="auto"/>
                      </w:rPr>
                      <m:t>Q</m:t>
                    </m:r>
                    <m:ctrlPr>
                      <w:rPr>
                        <w:rFonts w:hint="default" w:ascii="Cambria Math" w:hAnsi="Cambria Math" w:cs="Times New Roman"/>
                        <w:i/>
                        <w:color w:val="auto"/>
                      </w:rPr>
                    </m:ctrlPr>
                  </m:sub>
                </m:sSub>
              </m:oMath>
            </m:oMathPara>
          </w:p>
        </w:tc>
        <w:tc>
          <w:tcPr>
            <w:tcW w:w="2205" w:type="dxa"/>
            <w:vAlign w:val="center"/>
          </w:tcPr>
          <w:p>
            <w:pPr>
              <w:keepNext w:val="0"/>
              <w:keepLines w:val="0"/>
              <w:pageBreakBefore w:val="0"/>
              <w:widowControl w:val="0"/>
              <w:kinsoku/>
              <w:wordWrap/>
              <w:overflowPunct/>
              <w:topLinePunct w:val="0"/>
              <w:autoSpaceDE w:val="0"/>
              <w:autoSpaceDN w:val="0"/>
              <w:bidi w:val="0"/>
              <w:adjustRightInd w:val="0"/>
              <w:snapToGrid/>
              <w:spacing w:line="360" w:lineRule="auto"/>
              <w:jc w:val="right"/>
              <w:textAlignment w:val="auto"/>
              <w:rPr>
                <w:rFonts w:hint="default" w:ascii="Times New Roman" w:hAnsi="Times New Roman" w:cs="Times New Roman"/>
                <w:i w:val="0"/>
                <w:color w:val="auto"/>
                <w:kern w:val="28"/>
                <w:sz w:val="24"/>
                <w:szCs w:val="24"/>
                <w:vertAlign w:val="baseline"/>
                <w:lang w:val="en-US" w:eastAsia="zh-CN" w:bidi="ar-SA"/>
              </w:rPr>
            </w:pPr>
            <w:r>
              <w:rPr>
                <w:rFonts w:hint="default" w:ascii="Times New Roman" w:hAnsi="Times New Roman" w:cs="Times New Roman"/>
                <w:i w:val="0"/>
                <w:color w:val="auto"/>
                <w:kern w:val="28"/>
                <w:sz w:val="24"/>
                <w:szCs w:val="24"/>
                <w:vertAlign w:val="baseline"/>
                <w:lang w:val="en-US" w:eastAsia="zh-CN" w:bidi="ar-SA"/>
              </w:rPr>
              <w:t>（</w:t>
            </w:r>
            <w:r>
              <w:rPr>
                <w:rFonts w:hint="default" w:ascii="Times New Roman" w:hAnsi="Times New Roman" w:cs="Times New Roman"/>
                <w:color w:val="auto"/>
                <w:sz w:val="24"/>
                <w:szCs w:val="24"/>
                <w:lang w:val="en-US" w:eastAsia="zh-CN"/>
              </w:rPr>
              <w:t>A.1</w:t>
            </w:r>
            <w:r>
              <w:rPr>
                <w:rFonts w:hint="default" w:ascii="Times New Roman" w:hAnsi="Times New Roman" w:cs="Times New Roman"/>
                <w:i w:val="0"/>
                <w:color w:val="auto"/>
                <w:kern w:val="28"/>
                <w:sz w:val="24"/>
                <w:szCs w:val="24"/>
                <w:vertAlign w:val="baseline"/>
                <w:lang w:val="en-US" w:eastAsia="zh-CN" w:bidi="ar-SA"/>
              </w:rPr>
              <w:t>）</w:t>
            </w:r>
          </w:p>
        </w:tc>
      </w:tr>
    </w:tbl>
    <w:p>
      <w:pPr>
        <w:ind w:firstLine="0" w:firstLineChars="0"/>
        <w:rPr>
          <w:rFonts w:hint="default" w:ascii="Times New Roman" w:hAnsi="Times New Roman" w:cs="Times New Roman"/>
          <w:color w:val="auto"/>
        </w:rPr>
      </w:pPr>
      <w:r>
        <w:rPr>
          <w:rFonts w:hint="default" w:ascii="Times New Roman" w:hAnsi="Times New Roman" w:cs="Times New Roman"/>
          <w:color w:val="auto"/>
        </w:rPr>
        <w:t>式中，</w:t>
      </w:r>
    </w:p>
    <w:p>
      <w:pPr>
        <w:ind w:firstLine="480"/>
        <w:rPr>
          <w:rFonts w:hint="default" w:ascii="Times New Roman" w:hAnsi="Times New Roman" w:cs="Times New Roman"/>
          <w:color w:val="auto"/>
        </w:rPr>
      </w:pPr>
      <w:r>
        <w:rPr>
          <w:rFonts w:hint="default" w:ascii="Times New Roman" w:hAnsi="Times New Roman" w:cs="Times New Roman"/>
          <w:i/>
          <w:iCs/>
          <w:color w:val="auto"/>
          <w:lang w:val="en-US" w:eastAsia="zh-CN"/>
        </w:rPr>
        <w:t>D</w:t>
      </w:r>
      <w:r>
        <w:rPr>
          <w:rFonts w:hint="default" w:ascii="Times New Roman" w:hAnsi="Times New Roman" w:cs="Times New Roman"/>
          <w:color w:val="auto"/>
          <w:vertAlign w:val="subscript"/>
        </w:rPr>
        <w:t>w</w:t>
      </w:r>
      <w:r>
        <w:rPr>
          <w:rFonts w:hint="default" w:ascii="Times New Roman" w:hAnsi="Times New Roman" w:cs="Times New Roman"/>
          <w:color w:val="auto"/>
          <w:kern w:val="0"/>
          <w:szCs w:val="21"/>
        </w:rPr>
        <w:t>——射线质为</w:t>
      </w:r>
      <w:r>
        <w:rPr>
          <w:rFonts w:hint="default" w:ascii="Times New Roman" w:hAnsi="Times New Roman" w:cs="Times New Roman"/>
          <w:i/>
          <w:iCs/>
          <w:color w:val="auto"/>
        </w:rPr>
        <w:t>Q</w:t>
      </w:r>
      <w:r>
        <w:rPr>
          <w:rFonts w:hint="default" w:ascii="Times New Roman" w:hAnsi="Times New Roman" w:cs="Times New Roman"/>
          <w:color w:val="auto"/>
        </w:rPr>
        <w:t>的校准点水吸收剂量（</w:t>
      </w:r>
      <w:r>
        <w:rPr>
          <w:rFonts w:hint="default" w:ascii="Times New Roman" w:hAnsi="Times New Roman" w:cs="Times New Roman"/>
          <w:color w:val="auto"/>
          <w:lang w:val="en-US" w:eastAsia="zh-CN"/>
        </w:rPr>
        <w:t>Gy</w:t>
      </w:r>
      <w:r>
        <w:rPr>
          <w:rFonts w:hint="default" w:ascii="Times New Roman" w:hAnsi="Times New Roman" w:cs="Times New Roman"/>
          <w:color w:val="auto"/>
        </w:rPr>
        <w:t>）；</w:t>
      </w:r>
    </w:p>
    <w:p>
      <w:pPr>
        <w:ind w:firstLine="480"/>
        <w:rPr>
          <w:rFonts w:hint="default" w:ascii="Times New Roman" w:hAnsi="Times New Roman" w:cs="Times New Roman"/>
          <w:color w:val="auto"/>
        </w:rPr>
      </w:pPr>
      <w:r>
        <w:rPr>
          <w:rFonts w:hint="default" w:ascii="Times New Roman" w:hAnsi="Times New Roman" w:cs="Times New Roman"/>
          <w:i/>
          <w:iCs/>
          <w:color w:val="auto"/>
        </w:rPr>
        <w:t>M</w:t>
      </w:r>
      <w:r>
        <w:rPr>
          <w:rFonts w:hint="default" w:ascii="Times New Roman" w:hAnsi="Times New Roman" w:cs="Times New Roman"/>
          <w:color w:val="auto"/>
          <w:vertAlign w:val="subscript"/>
        </w:rPr>
        <w:t>raw</w:t>
      </w:r>
      <w:r>
        <w:rPr>
          <w:rFonts w:hint="default" w:ascii="Times New Roman" w:hAnsi="Times New Roman" w:cs="Times New Roman"/>
          <w:color w:val="auto"/>
          <w:kern w:val="0"/>
          <w:szCs w:val="21"/>
        </w:rPr>
        <w:t>——</w:t>
      </w:r>
      <w:r>
        <w:rPr>
          <w:rFonts w:hint="default" w:ascii="Times New Roman" w:hAnsi="Times New Roman" w:cs="Times New Roman"/>
          <w:color w:val="auto"/>
        </w:rPr>
        <w:t>静电计未修正的读数（C）；</w:t>
      </w:r>
    </w:p>
    <w:p>
      <w:pPr>
        <w:ind w:firstLine="480"/>
        <w:rPr>
          <w:rFonts w:hint="default" w:ascii="Times New Roman" w:hAnsi="Times New Roman" w:cs="Times New Roman"/>
          <w:color w:val="auto"/>
        </w:rPr>
      </w:pPr>
      <w:r>
        <w:rPr>
          <w:rFonts w:hint="default" w:ascii="Times New Roman" w:hAnsi="Times New Roman" w:cs="Times New Roman"/>
          <w:i/>
          <w:iCs/>
          <w:color w:val="auto"/>
          <w:lang w:val="en-US" w:eastAsia="zh-CN"/>
        </w:rPr>
        <w:t>N</w:t>
      </w:r>
      <w:r>
        <w:rPr>
          <w:rFonts w:hint="default" w:ascii="Times New Roman" w:hAnsi="Times New Roman" w:cs="Times New Roman"/>
          <w:i/>
          <w:iCs/>
          <w:color w:val="auto"/>
          <w:vertAlign w:val="subscript"/>
          <w:lang w:val="en-US" w:eastAsia="zh-CN"/>
        </w:rPr>
        <w:t>D</w:t>
      </w:r>
      <w:r>
        <w:rPr>
          <w:rFonts w:hint="default" w:ascii="Times New Roman" w:hAnsi="Times New Roman" w:cs="Times New Roman"/>
          <w:color w:val="auto"/>
          <w:vertAlign w:val="subscript"/>
          <w:lang w:val="en-US" w:eastAsia="zh-CN"/>
        </w:rPr>
        <w:t>,w</w:t>
      </w:r>
      <w:r>
        <w:rPr>
          <w:rFonts w:hint="default" w:ascii="Times New Roman" w:hAnsi="Times New Roman" w:cs="Times New Roman"/>
          <w:color w:val="auto"/>
          <w:kern w:val="0"/>
          <w:szCs w:val="21"/>
        </w:rPr>
        <w:t>——</w:t>
      </w:r>
      <w:r>
        <w:rPr>
          <w:rFonts w:hint="default" w:ascii="Times New Roman" w:hAnsi="Times New Roman" w:cs="Times New Roman"/>
          <w:color w:val="auto"/>
        </w:rPr>
        <w:t>电离室在</w:t>
      </w:r>
      <w:r>
        <w:rPr>
          <w:rFonts w:hint="eastAsia" w:cs="Times New Roman"/>
          <w:color w:val="auto"/>
          <w:vertAlign w:val="superscript"/>
          <w:lang w:val="en-US" w:eastAsia="zh-CN"/>
        </w:rPr>
        <w:t>60</w:t>
      </w:r>
      <w:r>
        <w:rPr>
          <w:rFonts w:hint="default" w:ascii="Times New Roman" w:hAnsi="Times New Roman" w:cs="Times New Roman"/>
          <w:color w:val="auto"/>
          <w:lang w:val="en-US" w:eastAsia="zh-CN"/>
        </w:rPr>
        <w:t>Co</w:t>
      </w:r>
      <w:r>
        <w:rPr>
          <w:rFonts w:hint="eastAsia" w:cs="Times New Roman"/>
          <w:color w:val="auto"/>
          <w:lang w:val="en-US" w:eastAsia="zh-CN"/>
        </w:rPr>
        <w:t xml:space="preserve"> </w:t>
      </w:r>
      <w:r>
        <w:rPr>
          <w:rFonts w:hint="default" w:ascii="Times New Roman" w:hAnsi="Times New Roman" w:cs="Times New Roman"/>
          <w:color w:val="auto"/>
          <w:lang w:val="en-US" w:eastAsia="zh-CN"/>
        </w:rPr>
        <w:t>γ</w:t>
      </w:r>
      <w:r>
        <w:rPr>
          <w:rFonts w:hint="eastAsia" w:cs="Times New Roman"/>
          <w:color w:val="auto"/>
          <w:lang w:val="en-US" w:eastAsia="zh-CN"/>
        </w:rPr>
        <w:t xml:space="preserve"> </w:t>
      </w:r>
      <w:r>
        <w:rPr>
          <w:rFonts w:hint="default" w:ascii="Times New Roman" w:hAnsi="Times New Roman" w:cs="Times New Roman"/>
          <w:color w:val="auto"/>
          <w:lang w:val="en-US" w:eastAsia="zh-CN"/>
        </w:rPr>
        <w:t>射线</w:t>
      </w:r>
      <w:r>
        <w:rPr>
          <w:rFonts w:hint="default" w:ascii="Times New Roman" w:hAnsi="Times New Roman" w:cs="Times New Roman"/>
          <w:color w:val="auto"/>
        </w:rPr>
        <w:t>中的水吸收剂量校准因子（</w:t>
      </w:r>
      <w:r>
        <w:rPr>
          <w:rFonts w:hint="default" w:ascii="Times New Roman" w:hAnsi="Times New Roman" w:cs="Times New Roman"/>
          <w:color w:val="auto"/>
          <w:lang w:val="en-US" w:eastAsia="zh-CN"/>
        </w:rPr>
        <w:t>Gy/</w:t>
      </w:r>
      <w:r>
        <w:rPr>
          <w:rFonts w:hint="default" w:ascii="Times New Roman" w:hAnsi="Times New Roman" w:cs="Times New Roman"/>
          <w:color w:val="auto"/>
        </w:rPr>
        <w:t>C）；</w:t>
      </w:r>
    </w:p>
    <w:p>
      <w:pPr>
        <w:ind w:firstLine="480"/>
        <w:rPr>
          <w:rFonts w:hint="default" w:ascii="Times New Roman" w:hAnsi="Times New Roman" w:cs="Times New Roman"/>
          <w:color w:val="auto"/>
        </w:rPr>
      </w:pPr>
      <w:r>
        <w:rPr>
          <w:rFonts w:hint="default" w:ascii="Times New Roman" w:hAnsi="Times New Roman" w:cs="Times New Roman"/>
          <w:i/>
          <w:iCs/>
          <w:color w:val="auto"/>
        </w:rPr>
        <w:t>k</w:t>
      </w:r>
      <w:r>
        <w:rPr>
          <w:rFonts w:hint="default" w:ascii="Times New Roman" w:hAnsi="Times New Roman" w:cs="Times New Roman"/>
          <w:color w:val="auto"/>
          <w:vertAlign w:val="subscript"/>
        </w:rPr>
        <w:t>TP</w:t>
      </w:r>
      <w:r>
        <w:rPr>
          <w:rFonts w:hint="default" w:ascii="Times New Roman" w:hAnsi="Times New Roman" w:cs="Times New Roman"/>
          <w:color w:val="auto"/>
          <w:kern w:val="0"/>
          <w:szCs w:val="21"/>
        </w:rPr>
        <w:t>——</w:t>
      </w:r>
      <w:r>
        <w:rPr>
          <w:rFonts w:hint="default" w:ascii="Times New Roman" w:hAnsi="Times New Roman" w:cs="Times New Roman"/>
          <w:color w:val="auto"/>
        </w:rPr>
        <w:t>修正灵敏体积内空气密度的影响；</w:t>
      </w:r>
    </w:p>
    <w:p>
      <w:pPr>
        <w:ind w:firstLine="480"/>
        <w:rPr>
          <w:rFonts w:hint="default" w:ascii="Times New Roman" w:hAnsi="Times New Roman" w:cs="Times New Roman"/>
          <w:color w:val="auto"/>
        </w:rPr>
      </w:pPr>
      <w:r>
        <w:rPr>
          <w:rFonts w:hint="default" w:ascii="Times New Roman" w:hAnsi="Times New Roman" w:cs="Times New Roman"/>
          <w:i/>
          <w:iCs/>
          <w:color w:val="auto"/>
        </w:rPr>
        <w:t>k</w:t>
      </w:r>
      <w:r>
        <w:rPr>
          <w:rFonts w:hint="default" w:ascii="Times New Roman" w:hAnsi="Times New Roman" w:cs="Times New Roman"/>
          <w:color w:val="auto"/>
          <w:vertAlign w:val="subscript"/>
        </w:rPr>
        <w:t>pol</w:t>
      </w:r>
      <w:r>
        <w:rPr>
          <w:rFonts w:hint="default" w:ascii="Times New Roman" w:hAnsi="Times New Roman" w:cs="Times New Roman"/>
          <w:color w:val="auto"/>
          <w:kern w:val="0"/>
          <w:szCs w:val="21"/>
        </w:rPr>
        <w:t>——</w:t>
      </w:r>
      <w:r>
        <w:rPr>
          <w:rFonts w:hint="default" w:ascii="Times New Roman" w:hAnsi="Times New Roman" w:cs="Times New Roman"/>
          <w:color w:val="auto"/>
        </w:rPr>
        <w:t>修正极化效应的影响；</w:t>
      </w:r>
    </w:p>
    <w:p>
      <w:pPr>
        <w:ind w:firstLine="480"/>
        <w:rPr>
          <w:rFonts w:hint="default" w:ascii="Times New Roman" w:hAnsi="Times New Roman" w:eastAsia="宋体" w:cs="Times New Roman"/>
          <w:color w:val="auto"/>
          <w:lang w:val="en-US" w:eastAsia="zh-CN"/>
        </w:rPr>
      </w:pPr>
      <w:r>
        <w:rPr>
          <w:rFonts w:hint="default" w:ascii="Times New Roman" w:hAnsi="Times New Roman" w:cs="Times New Roman"/>
          <w:i/>
          <w:iCs/>
          <w:color w:val="auto"/>
        </w:rPr>
        <w:t>k</w:t>
      </w:r>
      <w:r>
        <w:rPr>
          <w:rFonts w:hint="default" w:ascii="Times New Roman" w:hAnsi="Times New Roman" w:cs="Times New Roman"/>
          <w:color w:val="auto"/>
          <w:vertAlign w:val="subscript"/>
        </w:rPr>
        <w:t>elec</w:t>
      </w:r>
      <w:r>
        <w:rPr>
          <w:rFonts w:hint="default" w:ascii="Times New Roman" w:hAnsi="Times New Roman" w:cs="Times New Roman"/>
          <w:color w:val="auto"/>
          <w:kern w:val="0"/>
          <w:szCs w:val="21"/>
        </w:rPr>
        <w:t>——</w:t>
      </w:r>
      <w:r>
        <w:rPr>
          <w:rFonts w:hint="default" w:ascii="Times New Roman" w:hAnsi="Times New Roman" w:cs="Times New Roman"/>
          <w:color w:val="auto"/>
        </w:rPr>
        <w:t>修正静电计电荷测量精度的影响，静电计与电离室一起校准时，该项包含在校准射线质的水吸收剂量校准系数里</w:t>
      </w:r>
      <w:r>
        <w:rPr>
          <w:rFonts w:hint="default" w:ascii="Times New Roman" w:hAnsi="Times New Roman" w:cs="Times New Roman"/>
          <w:color w:val="auto"/>
          <w:lang w:eastAsia="zh-CN"/>
        </w:rPr>
        <w:t>；</w:t>
      </w:r>
    </w:p>
    <w:p>
      <w:pPr>
        <w:ind w:firstLine="480"/>
        <w:rPr>
          <w:rFonts w:hint="default" w:ascii="Times New Roman" w:hAnsi="Times New Roman" w:cs="Times New Roman"/>
          <w:color w:val="auto"/>
        </w:rPr>
      </w:pPr>
      <w:r>
        <w:rPr>
          <w:rFonts w:hint="default" w:ascii="Times New Roman" w:hAnsi="Times New Roman" w:cs="Times New Roman"/>
          <w:i/>
          <w:iCs/>
          <w:color w:val="auto"/>
        </w:rPr>
        <w:t>k</w:t>
      </w:r>
      <w:r>
        <w:rPr>
          <w:rFonts w:hint="default" w:ascii="Times New Roman" w:hAnsi="Times New Roman" w:cs="Times New Roman"/>
          <w:color w:val="auto"/>
          <w:vertAlign w:val="subscript"/>
        </w:rPr>
        <w:t>s</w:t>
      </w:r>
      <w:r>
        <w:rPr>
          <w:rFonts w:hint="default" w:ascii="Times New Roman" w:hAnsi="Times New Roman" w:cs="Times New Roman"/>
          <w:color w:val="auto"/>
          <w:kern w:val="0"/>
          <w:szCs w:val="21"/>
        </w:rPr>
        <w:t>——</w:t>
      </w:r>
      <w:r>
        <w:rPr>
          <w:rFonts w:hint="default" w:ascii="Times New Roman" w:hAnsi="Times New Roman" w:cs="Times New Roman"/>
          <w:color w:val="auto"/>
        </w:rPr>
        <w:t>修正离子复合效应产生的影响；</w:t>
      </w:r>
    </w:p>
    <w:p>
      <w:pPr>
        <w:ind w:firstLine="480"/>
        <w:rPr>
          <w:rFonts w:hint="default" w:ascii="Times New Roman" w:hAnsi="Times New Roman" w:eastAsia="宋体" w:cs="Times New Roman"/>
          <w:color w:val="auto"/>
          <w:lang w:eastAsia="zh-CN"/>
        </w:rPr>
      </w:pPr>
      <w:r>
        <w:rPr>
          <w:rFonts w:hint="default" w:ascii="Times New Roman" w:hAnsi="Times New Roman" w:cs="Times New Roman"/>
          <w:i/>
          <w:iCs/>
          <w:color w:val="auto"/>
        </w:rPr>
        <w:t>k</w:t>
      </w:r>
      <w:r>
        <w:rPr>
          <w:rFonts w:hint="default" w:ascii="Times New Roman" w:hAnsi="Times New Roman" w:cs="Times New Roman"/>
          <w:i/>
          <w:iCs/>
          <w:color w:val="auto"/>
          <w:vertAlign w:val="subscript"/>
          <w:lang w:val="en-US" w:eastAsia="zh-CN"/>
        </w:rPr>
        <w:t>Q</w:t>
      </w:r>
      <w:r>
        <w:rPr>
          <w:rFonts w:hint="default" w:ascii="Times New Roman" w:hAnsi="Times New Roman" w:cs="Times New Roman"/>
          <w:color w:val="auto"/>
          <w:kern w:val="0"/>
          <w:szCs w:val="21"/>
        </w:rPr>
        <w:t>——</w:t>
      </w:r>
      <w:r>
        <w:rPr>
          <w:rFonts w:hint="default" w:ascii="Times New Roman" w:hAnsi="Times New Roman" w:cs="Times New Roman"/>
          <w:color w:val="auto"/>
        </w:rPr>
        <w:t>修正水吸收剂量校准系数从</w:t>
      </w:r>
      <w:r>
        <w:rPr>
          <w:rFonts w:hint="eastAsia" w:cs="Times New Roman"/>
          <w:color w:val="auto"/>
          <w:vertAlign w:val="superscript"/>
          <w:lang w:val="en-US" w:eastAsia="zh-CN"/>
        </w:rPr>
        <w:t>60</w:t>
      </w:r>
      <w:r>
        <w:rPr>
          <w:rFonts w:hint="default" w:ascii="Times New Roman" w:hAnsi="Times New Roman" w:cs="Times New Roman"/>
          <w:color w:val="auto"/>
        </w:rPr>
        <w:t>Co</w:t>
      </w:r>
      <w:r>
        <w:rPr>
          <w:rFonts w:hint="eastAsia" w:cs="Times New Roman"/>
          <w:color w:val="auto"/>
          <w:lang w:val="en-US" w:eastAsia="zh-CN"/>
        </w:rPr>
        <w:t xml:space="preserve"> </w:t>
      </w:r>
      <w:r>
        <w:rPr>
          <w:rFonts w:hint="default" w:ascii="Times New Roman" w:hAnsi="Times New Roman" w:cs="Times New Roman"/>
          <w:color w:val="auto"/>
          <w:lang w:val="en-US" w:eastAsia="zh-CN"/>
        </w:rPr>
        <w:t>γ</w:t>
      </w:r>
      <w:r>
        <w:rPr>
          <w:rFonts w:hint="eastAsia" w:cs="Times New Roman"/>
          <w:color w:val="auto"/>
          <w:lang w:val="en-US" w:eastAsia="zh-CN"/>
        </w:rPr>
        <w:t xml:space="preserve"> </w:t>
      </w:r>
      <w:r>
        <w:rPr>
          <w:rFonts w:hint="default" w:ascii="Times New Roman" w:hAnsi="Times New Roman" w:cs="Times New Roman"/>
          <w:color w:val="auto"/>
          <w:lang w:val="en-US" w:eastAsia="zh-CN"/>
        </w:rPr>
        <w:t>射线至</w:t>
      </w:r>
      <w:r>
        <w:rPr>
          <w:rFonts w:hint="default" w:ascii="Times New Roman" w:hAnsi="Times New Roman" w:cs="Times New Roman"/>
          <w:color w:val="auto"/>
        </w:rPr>
        <w:t>用户射线质</w:t>
      </w:r>
      <w:r>
        <w:rPr>
          <w:rFonts w:hint="default" w:ascii="Times New Roman" w:hAnsi="Times New Roman" w:cs="Times New Roman"/>
          <w:i/>
          <w:iCs/>
          <w:color w:val="auto"/>
        </w:rPr>
        <w:t>Q</w:t>
      </w:r>
      <w:r>
        <w:rPr>
          <w:rFonts w:hint="default" w:ascii="Times New Roman" w:hAnsi="Times New Roman" w:cs="Times New Roman"/>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表A.1 待校准单位采用电离室剂量计测量水吸收剂量使用的修正因子</w:t>
      </w:r>
    </w:p>
    <w:tbl>
      <w:tblPr>
        <w:tblStyle w:val="8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6"/>
        <w:gridCol w:w="1127"/>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影响量</w:t>
            </w:r>
          </w:p>
        </w:tc>
        <w:tc>
          <w:tcPr>
            <w:tcW w:w="580"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使用值</w:t>
            </w: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cs="Times New Roman"/>
                <w:color w:val="auto"/>
                <w:vertAlign w:val="baseline"/>
              </w:rPr>
            </w:pPr>
            <w:r>
              <w:rPr>
                <w:rFonts w:hint="default" w:ascii="Times New Roman" w:hAnsi="Times New Roman" w:cs="Times New Roman"/>
                <w:color w:val="auto"/>
              </w:rPr>
              <w:t>静电计未修正的读数</w:t>
            </w:r>
            <w:r>
              <w:rPr>
                <w:rFonts w:hint="default" w:ascii="Times New Roman" w:hAnsi="Times New Roman" w:cs="Times New Roman"/>
                <w:color w:val="auto"/>
                <w:lang w:eastAsia="zh-CN"/>
              </w:rPr>
              <w:t>，</w:t>
            </w:r>
            <w:r>
              <w:rPr>
                <w:rFonts w:hint="default" w:ascii="Times New Roman" w:hAnsi="Times New Roman" w:cs="Times New Roman"/>
                <w:i/>
                <w:iCs/>
                <w:color w:val="auto"/>
              </w:rPr>
              <w:t>M</w:t>
            </w:r>
            <w:r>
              <w:rPr>
                <w:rFonts w:hint="default" w:ascii="Times New Roman" w:hAnsi="Times New Roman" w:cs="Times New Roman"/>
                <w:color w:val="auto"/>
                <w:vertAlign w:val="subscript"/>
              </w:rPr>
              <w:t>raw</w:t>
            </w:r>
          </w:p>
        </w:tc>
        <w:tc>
          <w:tcPr>
            <w:tcW w:w="580" w:type="pct"/>
            <w:vAlign w:val="center"/>
          </w:tcPr>
          <w:p>
            <w:pPr>
              <w:jc w:val="center"/>
              <w:rPr>
                <w:rFonts w:hint="default" w:ascii="Times New Roman" w:hAnsi="Times New Roman" w:eastAsia="宋体" w:cs="Times New Roman"/>
                <w:color w:val="auto"/>
                <w:u w:val="single"/>
                <w:vertAlign w:val="baseline"/>
                <w:lang w:val="en-US" w:eastAsia="zh-CN"/>
              </w:rPr>
            </w:pP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结合证书选择对应量程，剂量计可不填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vertAlign w:val="baseline"/>
                <w:lang w:eastAsia="zh-CN"/>
              </w:rPr>
            </w:pPr>
            <w:r>
              <w:rPr>
                <w:rFonts w:hint="default" w:ascii="Times New Roman" w:hAnsi="Times New Roman" w:cs="Times New Roman"/>
                <w:color w:val="auto"/>
              </w:rPr>
              <w:t>水吸收剂量校准因子</w:t>
            </w:r>
            <w:r>
              <w:rPr>
                <w:rFonts w:hint="default" w:ascii="Times New Roman" w:hAnsi="Times New Roman" w:cs="Times New Roman"/>
                <w:color w:val="auto"/>
                <w:lang w:eastAsia="zh-CN"/>
              </w:rPr>
              <w:t>，</w:t>
            </w:r>
            <w:r>
              <w:rPr>
                <w:rFonts w:hint="default" w:ascii="Times New Roman" w:hAnsi="Times New Roman" w:cs="Times New Roman"/>
                <w:i/>
                <w:iCs/>
                <w:color w:val="auto"/>
                <w:lang w:val="en-US" w:eastAsia="zh-CN"/>
              </w:rPr>
              <w:t>N</w:t>
            </w:r>
            <w:r>
              <w:rPr>
                <w:rFonts w:hint="default" w:ascii="Times New Roman" w:hAnsi="Times New Roman" w:cs="Times New Roman"/>
                <w:i/>
                <w:iCs/>
                <w:color w:val="auto"/>
                <w:vertAlign w:val="subscript"/>
                <w:lang w:val="en-US" w:eastAsia="zh-CN"/>
              </w:rPr>
              <w:t>D</w:t>
            </w:r>
            <w:r>
              <w:rPr>
                <w:rFonts w:hint="default" w:ascii="Times New Roman" w:hAnsi="Times New Roman" w:cs="Times New Roman"/>
                <w:color w:val="auto"/>
                <w:vertAlign w:val="subscript"/>
                <w:lang w:val="en-US" w:eastAsia="zh-CN"/>
              </w:rPr>
              <w:t>,w</w:t>
            </w:r>
          </w:p>
        </w:tc>
        <w:tc>
          <w:tcPr>
            <w:tcW w:w="580" w:type="pct"/>
            <w:vAlign w:val="center"/>
          </w:tcPr>
          <w:p>
            <w:pPr>
              <w:rPr>
                <w:rFonts w:hint="default" w:ascii="Times New Roman" w:hAnsi="Times New Roman" w:eastAsia="宋体" w:cs="Times New Roman"/>
                <w:color w:val="auto"/>
                <w:u w:val="single"/>
                <w:vertAlign w:val="baseline"/>
                <w:lang w:val="en-US" w:eastAsia="zh-CN"/>
              </w:rPr>
            </w:pPr>
            <w:r>
              <w:rPr>
                <w:rFonts w:hint="default" w:ascii="Times New Roman" w:hAnsi="Times New Roman" w:cs="Times New Roman"/>
                <w:color w:val="auto"/>
                <w:u w:val="single"/>
                <w:vertAlign w:val="baseline"/>
                <w:lang w:val="en-US" w:eastAsia="zh-CN"/>
              </w:rPr>
              <w:t xml:space="preserve">   </w:t>
            </w:r>
            <w:r>
              <w:rPr>
                <w:rFonts w:hint="default" w:ascii="Times New Roman" w:hAnsi="Times New Roman" w:cs="Times New Roman"/>
                <w:color w:val="auto"/>
                <w:u w:val="none"/>
                <w:vertAlign w:val="baseline"/>
                <w:lang w:val="en-US" w:eastAsia="zh-CN"/>
              </w:rPr>
              <w:t>×</w:t>
            </w:r>
            <w:r>
              <w:rPr>
                <w:rFonts w:hint="default" w:ascii="Times New Roman" w:hAnsi="Times New Roman" w:cs="Times New Roman"/>
                <w:color w:val="auto"/>
                <w:u w:val="single"/>
                <w:vertAlign w:val="baseline"/>
                <w:lang w:val="en-US" w:eastAsia="zh-CN"/>
              </w:rPr>
              <w:t xml:space="preserve">    </w:t>
            </w: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一般为出厂因子乘以证书因子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rPr>
              <w:t>空气密度</w:t>
            </w:r>
            <w:r>
              <w:rPr>
                <w:rFonts w:hint="default" w:ascii="Times New Roman" w:hAnsi="Times New Roman" w:cs="Times New Roman"/>
                <w:color w:val="auto"/>
                <w:lang w:val="en-US" w:eastAsia="zh-CN"/>
              </w:rPr>
              <w:t>修正，</w:t>
            </w:r>
            <w:r>
              <w:rPr>
                <w:rFonts w:hint="default" w:ascii="Times New Roman" w:hAnsi="Times New Roman" w:cs="Times New Roman"/>
                <w:i/>
                <w:iCs/>
                <w:color w:val="auto"/>
              </w:rPr>
              <w:t>k</w:t>
            </w:r>
            <w:r>
              <w:rPr>
                <w:rFonts w:hint="default" w:ascii="Times New Roman" w:hAnsi="Times New Roman" w:cs="Times New Roman"/>
                <w:color w:val="auto"/>
                <w:vertAlign w:val="subscript"/>
              </w:rPr>
              <w:t>TP</w:t>
            </w:r>
          </w:p>
        </w:tc>
        <w:tc>
          <w:tcPr>
            <w:tcW w:w="580" w:type="pct"/>
            <w:vAlign w:val="center"/>
          </w:tcPr>
          <w:p>
            <w:pPr>
              <w:rPr>
                <w:rFonts w:hint="default" w:ascii="Times New Roman" w:hAnsi="Times New Roman" w:cs="Times New Roman"/>
                <w:color w:val="auto"/>
                <w:vertAlign w:val="baseline"/>
              </w:rPr>
            </w:pP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根据模体内的空气温度和气压计算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vertAlign w:val="baseline"/>
                <w:lang w:eastAsia="zh-CN"/>
              </w:rPr>
            </w:pPr>
            <w:r>
              <w:rPr>
                <w:rFonts w:hint="default" w:ascii="Times New Roman" w:hAnsi="Times New Roman" w:cs="Times New Roman"/>
                <w:color w:val="auto"/>
              </w:rPr>
              <w:t>极化效应</w:t>
            </w:r>
            <w:r>
              <w:rPr>
                <w:rFonts w:hint="default" w:ascii="Times New Roman" w:hAnsi="Times New Roman" w:cs="Times New Roman"/>
                <w:color w:val="auto"/>
                <w:lang w:val="en-US" w:eastAsia="zh-CN"/>
              </w:rPr>
              <w:t>修正</w:t>
            </w:r>
            <w:r>
              <w:rPr>
                <w:rFonts w:hint="default" w:ascii="Times New Roman" w:hAnsi="Times New Roman" w:cs="Times New Roman"/>
                <w:color w:val="auto"/>
                <w:lang w:eastAsia="zh-CN"/>
              </w:rPr>
              <w:t>，</w:t>
            </w:r>
            <w:r>
              <w:rPr>
                <w:rFonts w:hint="default" w:ascii="Times New Roman" w:hAnsi="Times New Roman" w:cs="Times New Roman"/>
                <w:i/>
                <w:iCs/>
                <w:color w:val="auto"/>
              </w:rPr>
              <w:t>k</w:t>
            </w:r>
            <w:r>
              <w:rPr>
                <w:rFonts w:hint="default" w:ascii="Times New Roman" w:hAnsi="Times New Roman" w:cs="Times New Roman"/>
                <w:color w:val="auto"/>
                <w:vertAlign w:val="subscript"/>
              </w:rPr>
              <w:t>pol</w:t>
            </w:r>
          </w:p>
        </w:tc>
        <w:tc>
          <w:tcPr>
            <w:tcW w:w="580" w:type="pct"/>
            <w:vAlign w:val="center"/>
          </w:tcPr>
          <w:p>
            <w:pPr>
              <w:rPr>
                <w:rFonts w:hint="default" w:ascii="Times New Roman" w:hAnsi="Times New Roman" w:eastAsia="宋体" w:cs="Times New Roman"/>
                <w:color w:val="auto"/>
                <w:vertAlign w:val="baseline"/>
                <w:lang w:val="en-US" w:eastAsia="zh-CN"/>
              </w:rPr>
            </w:pP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与剂量计校准证书一致的工作电压时为1.000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rPr>
              <w:t>静电计</w:t>
            </w:r>
            <w:r>
              <w:rPr>
                <w:rFonts w:hint="default" w:ascii="Times New Roman" w:hAnsi="Times New Roman" w:cs="Times New Roman"/>
                <w:color w:val="auto"/>
                <w:lang w:val="en-US" w:eastAsia="zh-CN"/>
              </w:rPr>
              <w:t>修正，</w:t>
            </w:r>
            <w:r>
              <w:rPr>
                <w:rFonts w:hint="default" w:ascii="Times New Roman" w:hAnsi="Times New Roman" w:cs="Times New Roman"/>
                <w:i/>
                <w:iCs/>
                <w:color w:val="auto"/>
              </w:rPr>
              <w:t>k</w:t>
            </w:r>
            <w:r>
              <w:rPr>
                <w:rFonts w:hint="default" w:ascii="Times New Roman" w:hAnsi="Times New Roman" w:cs="Times New Roman"/>
                <w:color w:val="auto"/>
                <w:vertAlign w:val="subscript"/>
              </w:rPr>
              <w:t>elec</w:t>
            </w:r>
          </w:p>
        </w:tc>
        <w:tc>
          <w:tcPr>
            <w:tcW w:w="580" w:type="pct"/>
            <w:vAlign w:val="center"/>
          </w:tcPr>
          <w:p>
            <w:pPr>
              <w:rPr>
                <w:rFonts w:hint="default" w:ascii="Times New Roman" w:hAnsi="Times New Roman" w:eastAsia="宋体" w:cs="Times New Roman"/>
                <w:color w:val="auto"/>
                <w:vertAlign w:val="baseline"/>
                <w:lang w:val="en-US" w:eastAsia="zh-CN"/>
              </w:rPr>
            </w:pP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剂量计与电离室整体校准时，该值为1.000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lang w:val="en-US" w:eastAsia="zh-CN"/>
              </w:rPr>
            </w:pPr>
            <w:r>
              <w:rPr>
                <w:rFonts w:hint="default" w:ascii="Times New Roman" w:hAnsi="Times New Roman" w:cs="Times New Roman"/>
                <w:color w:val="auto"/>
              </w:rPr>
              <w:t>离子复合效应</w:t>
            </w:r>
            <w:r>
              <w:rPr>
                <w:rFonts w:hint="default" w:ascii="Times New Roman" w:hAnsi="Times New Roman" w:cs="Times New Roman"/>
                <w:color w:val="auto"/>
                <w:lang w:val="en-US" w:eastAsia="zh-CN"/>
              </w:rPr>
              <w:t>修正，</w:t>
            </w:r>
            <w:r>
              <w:rPr>
                <w:rFonts w:hint="default" w:ascii="Times New Roman" w:hAnsi="Times New Roman" w:cs="Times New Roman"/>
                <w:i/>
                <w:iCs/>
                <w:color w:val="auto"/>
              </w:rPr>
              <w:t>k</w:t>
            </w:r>
            <w:r>
              <w:rPr>
                <w:rFonts w:hint="default" w:ascii="Times New Roman" w:hAnsi="Times New Roman" w:cs="Times New Roman"/>
                <w:color w:val="auto"/>
                <w:vertAlign w:val="subscript"/>
              </w:rPr>
              <w:t>s</w:t>
            </w:r>
          </w:p>
        </w:tc>
        <w:tc>
          <w:tcPr>
            <w:tcW w:w="580" w:type="pct"/>
            <w:vAlign w:val="center"/>
          </w:tcPr>
          <w:p>
            <w:pPr>
              <w:rPr>
                <w:rFonts w:hint="default" w:ascii="Times New Roman" w:hAnsi="Times New Roman" w:cs="Times New Roman"/>
                <w:color w:val="auto"/>
                <w:vertAlign w:val="baseline"/>
              </w:rPr>
            </w:pP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在校准所用剂量率条件下测量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6" w:type="pct"/>
            <w:vAlign w:val="center"/>
          </w:tcPr>
          <w:p>
            <w:pPr>
              <w:rPr>
                <w:rFonts w:hint="default" w:ascii="Times New Roman" w:hAnsi="Times New Roman" w:eastAsia="宋体" w:cs="Times New Roman"/>
                <w:color w:val="auto"/>
                <w:lang w:val="en-US" w:eastAsia="zh-CN"/>
              </w:rPr>
            </w:pPr>
            <w:r>
              <w:rPr>
                <w:rFonts w:hint="default" w:ascii="Times New Roman" w:hAnsi="Times New Roman" w:cs="Times New Roman"/>
                <w:color w:val="auto"/>
                <w:lang w:val="en-US" w:eastAsia="zh-CN"/>
              </w:rPr>
              <w:t>射线质转换因子，</w:t>
            </w:r>
            <w:r>
              <w:rPr>
                <w:rFonts w:hint="default" w:ascii="Times New Roman" w:hAnsi="Times New Roman" w:cs="Times New Roman"/>
                <w:i/>
                <w:iCs/>
                <w:color w:val="auto"/>
              </w:rPr>
              <w:t>k</w:t>
            </w:r>
            <w:r>
              <w:rPr>
                <w:rFonts w:hint="default" w:ascii="Times New Roman" w:hAnsi="Times New Roman" w:cs="Times New Roman"/>
                <w:i/>
                <w:iCs/>
                <w:color w:val="auto"/>
                <w:vertAlign w:val="subscript"/>
                <w:lang w:val="en-US" w:eastAsia="zh-CN"/>
              </w:rPr>
              <w:t>Q</w:t>
            </w:r>
          </w:p>
        </w:tc>
        <w:tc>
          <w:tcPr>
            <w:tcW w:w="580" w:type="pct"/>
            <w:vAlign w:val="center"/>
          </w:tcPr>
          <w:p>
            <w:pPr>
              <w:rPr>
                <w:rFonts w:hint="default" w:ascii="Times New Roman" w:hAnsi="Times New Roman" w:cs="Times New Roman"/>
                <w:color w:val="auto"/>
                <w:vertAlign w:val="baseline"/>
              </w:rPr>
            </w:pPr>
          </w:p>
        </w:tc>
        <w:tc>
          <w:tcPr>
            <w:tcW w:w="2763" w:type="pct"/>
            <w:vAlign w:val="center"/>
          </w:tcPr>
          <w:p>
            <w:pPr>
              <w:rPr>
                <w:rFonts w:hint="default" w:ascii="Times New Roman" w:hAnsi="Times New Roman" w:eastAsia="宋体" w:cs="Times New Roman"/>
                <w:color w:val="auto"/>
                <w:vertAlign w:val="baseline"/>
                <w:lang w:val="en-US" w:eastAsia="zh-CN"/>
              </w:rPr>
            </w:pPr>
            <w:r>
              <w:rPr>
                <w:rFonts w:hint="default" w:ascii="Times New Roman" w:hAnsi="Times New Roman" w:cs="Times New Roman"/>
                <w:color w:val="auto"/>
                <w:vertAlign w:val="baseline"/>
                <w:lang w:val="en-US" w:eastAsia="zh-CN"/>
              </w:rPr>
              <w:t>查询TRS-398报告、国内外文献或厂商测试值</w:t>
            </w:r>
          </w:p>
        </w:tc>
      </w:tr>
    </w:tbl>
    <w:p>
      <w:pPr>
        <w:ind w:firstLine="2640" w:firstLineChars="1100"/>
        <w:rPr>
          <w:rFonts w:hint="default" w:ascii="Times New Roman" w:hAnsi="Times New Roman" w:cs="Times New Roman"/>
          <w:color w:val="auto"/>
        </w:rPr>
      </w:pPr>
    </w:p>
    <w:p>
      <w:pPr>
        <w:numPr>
          <w:ilvl w:val="0"/>
          <w:numId w:val="0"/>
        </w:numPr>
        <w:spacing w:line="360" w:lineRule="auto"/>
        <w:jc w:val="left"/>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A.5其他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cs="Times New Roman"/>
          <w:color w:val="auto"/>
          <w:sz w:val="24"/>
          <w:szCs w:val="24"/>
          <w:lang w:val="en-US" w:eastAsia="zh-CN"/>
        </w:rPr>
      </w:pPr>
      <w:r>
        <w:rPr>
          <w:rFonts w:hint="default" w:ascii="Times New Roman" w:hAnsi="Times New Roman" w:cs="Times New Roman"/>
          <w:color w:val="auto"/>
          <w:sz w:val="24"/>
          <w:szCs w:val="24"/>
          <w:lang w:val="en-US" w:eastAsia="zh-CN"/>
        </w:rPr>
        <w:t>被校准单位结合辐照实际条件需要备注信息等</w:t>
      </w:r>
    </w:p>
    <w:p>
      <w:pPr>
        <w:autoSpaceDE w:val="0"/>
        <w:autoSpaceDN w:val="0"/>
        <w:adjustRightInd w:val="0"/>
        <w:spacing w:line="360" w:lineRule="auto"/>
        <w:ind w:firstLine="420"/>
        <w:jc w:val="left"/>
        <w:rPr>
          <w:rFonts w:hint="default" w:ascii="Times New Roman" w:hAnsi="Times New Roman" w:cs="Times New Roman"/>
          <w:color w:val="auto"/>
        </w:rPr>
      </w:pPr>
    </w:p>
    <w:p>
      <w:pPr>
        <w:autoSpaceDE w:val="0"/>
        <w:autoSpaceDN w:val="0"/>
        <w:adjustRightInd w:val="0"/>
        <w:spacing w:line="360" w:lineRule="auto"/>
        <w:ind w:firstLine="420"/>
        <w:jc w:val="left"/>
        <w:rPr>
          <w:rFonts w:hint="default" w:ascii="Times New Roman" w:hAnsi="Times New Roman" w:cs="Times New Roman"/>
          <w:color w:val="auto"/>
        </w:rPr>
      </w:pPr>
    </w:p>
    <w:p>
      <w:pPr>
        <w:autoSpaceDE w:val="0"/>
        <w:autoSpaceDN w:val="0"/>
        <w:adjustRightInd w:val="0"/>
        <w:spacing w:line="360" w:lineRule="auto"/>
        <w:ind w:firstLine="420"/>
        <w:jc w:val="left"/>
        <w:rPr>
          <w:rFonts w:hint="default" w:ascii="Times New Roman" w:hAnsi="Times New Roman" w:cs="Times New Roman"/>
          <w:color w:val="auto"/>
        </w:rPr>
      </w:pPr>
    </w:p>
    <w:p>
      <w:pPr>
        <w:spacing w:line="360" w:lineRule="auto"/>
        <w:ind w:firstLine="4" w:firstLineChars="2"/>
        <w:jc w:val="center"/>
        <w:rPr>
          <w:rFonts w:hint="default" w:ascii="Times New Roman" w:hAnsi="Times New Roman" w:cs="Times New Roman"/>
          <w:color w:val="auto"/>
        </w:rPr>
        <w:sectPr>
          <w:pgSz w:w="11906" w:h="16838"/>
          <w:pgMar w:top="1524" w:right="1274" w:bottom="567" w:left="1134" w:header="851" w:footer="992" w:gutter="0"/>
          <w:cols w:space="425" w:num="1"/>
          <w:docGrid w:type="lines" w:linePitch="312" w:charSpace="0"/>
        </w:sectPr>
      </w:pPr>
    </w:p>
    <w:bookmarkEnd w:id="178"/>
    <w:p>
      <w:pPr>
        <w:pStyle w:val="3"/>
        <w:numPr>
          <w:ilvl w:val="0"/>
          <w:numId w:val="0"/>
        </w:numPr>
        <w:ind w:left="4060" w:right="240" w:hanging="4060" w:hangingChars="1450"/>
        <w:rPr>
          <w:rFonts w:hint="default" w:ascii="Times New Roman" w:hAnsi="Times New Roman" w:cs="Times New Roman"/>
          <w:b w:val="0"/>
          <w:color w:val="auto"/>
          <w:sz w:val="28"/>
          <w:lang w:val="en-US" w:eastAsia="zh-CN"/>
        </w:rPr>
      </w:pPr>
      <w:bookmarkStart w:id="203" w:name="_Toc373698956"/>
      <w:bookmarkStart w:id="204" w:name="_Toc373339111"/>
      <w:bookmarkStart w:id="205" w:name="_Toc373699213"/>
      <w:bookmarkStart w:id="206" w:name="_Toc25661"/>
      <w:bookmarkStart w:id="207" w:name="_Toc28577"/>
      <w:bookmarkStart w:id="208" w:name="_Toc146027218"/>
      <w:bookmarkStart w:id="209" w:name="_Toc15962"/>
      <w:bookmarkStart w:id="210" w:name="_Toc6923"/>
      <w:r>
        <w:rPr>
          <w:rFonts w:hint="default" w:ascii="Times New Roman" w:hAnsi="Times New Roman" w:cs="Times New Roman"/>
          <w:b w:val="0"/>
          <w:color w:val="auto"/>
          <w:sz w:val="28"/>
        </w:rPr>
        <w:t xml:space="preserve">附录 </w:t>
      </w:r>
      <w:bookmarkEnd w:id="203"/>
      <w:bookmarkEnd w:id="204"/>
      <w:bookmarkEnd w:id="205"/>
      <w:r>
        <w:rPr>
          <w:rFonts w:hint="default" w:ascii="Times New Roman" w:hAnsi="Times New Roman" w:cs="Times New Roman"/>
          <w:b w:val="0"/>
          <w:color w:val="auto"/>
          <w:sz w:val="28"/>
          <w:lang w:val="en-US" w:eastAsia="zh-CN"/>
        </w:rPr>
        <w:t>B</w:t>
      </w:r>
      <w:bookmarkEnd w:id="206"/>
      <w:bookmarkEnd w:id="207"/>
      <w:bookmarkEnd w:id="208"/>
      <w:bookmarkEnd w:id="209"/>
      <w:bookmarkEnd w:id="210"/>
    </w:p>
    <w:p>
      <w:pPr>
        <w:pStyle w:val="3"/>
        <w:numPr>
          <w:ilvl w:val="0"/>
          <w:numId w:val="0"/>
        </w:numPr>
        <w:ind w:left="2520" w:right="240" w:hanging="2520" w:hangingChars="900"/>
        <w:jc w:val="center"/>
        <w:rPr>
          <w:rFonts w:hint="default" w:ascii="Times New Roman" w:hAnsi="Times New Roman" w:cs="Times New Roman"/>
          <w:b w:val="0"/>
          <w:bCs w:val="0"/>
          <w:color w:val="auto"/>
          <w:sz w:val="28"/>
          <w:szCs w:val="28"/>
          <w:lang w:val="en-US" w:eastAsia="zh-CN"/>
        </w:rPr>
      </w:pPr>
      <w:bookmarkStart w:id="211" w:name="_Toc26830"/>
      <w:bookmarkStart w:id="212" w:name="_Toc30596"/>
      <w:bookmarkStart w:id="213" w:name="_Toc15555"/>
      <w:bookmarkStart w:id="214" w:name="_Toc12077"/>
      <w:r>
        <w:rPr>
          <w:rFonts w:hint="default" w:ascii="Times New Roman" w:hAnsi="Times New Roman" w:cs="Times New Roman"/>
          <w:b w:val="0"/>
          <w:bCs w:val="0"/>
          <w:color w:val="auto"/>
          <w:sz w:val="28"/>
          <w:szCs w:val="28"/>
          <w:lang w:val="en-US" w:eastAsia="zh-CN"/>
        </w:rPr>
        <w:t>xxx外照射</w:t>
      </w:r>
      <w:r>
        <w:rPr>
          <w:rFonts w:hint="eastAsia" w:ascii="Times New Roman" w:hAnsi="Times New Roman" w:cs="Times New Roman"/>
          <w:b w:val="0"/>
          <w:bCs w:val="0"/>
          <w:color w:val="auto"/>
          <w:sz w:val="28"/>
          <w:szCs w:val="28"/>
          <w:lang w:val="en-US" w:eastAsia="zh-CN"/>
        </w:rPr>
        <w:t>放疗</w:t>
      </w:r>
      <w:r>
        <w:rPr>
          <w:rFonts w:hint="default" w:ascii="Times New Roman" w:hAnsi="Times New Roman" w:cs="Times New Roman"/>
          <w:b w:val="0"/>
          <w:bCs w:val="0"/>
          <w:color w:val="auto"/>
          <w:sz w:val="28"/>
          <w:szCs w:val="28"/>
          <w:lang w:val="en-US" w:eastAsia="zh-CN"/>
        </w:rPr>
        <w:t>束邮寄核验水吸收剂量</w:t>
      </w:r>
      <w:bookmarkEnd w:id="211"/>
      <w:bookmarkEnd w:id="212"/>
      <w:bookmarkEnd w:id="213"/>
      <w:bookmarkEnd w:id="214"/>
    </w:p>
    <w:p>
      <w:pPr>
        <w:jc w:val="center"/>
        <w:rPr>
          <w:rFonts w:hint="default" w:ascii="Times New Roman" w:hAnsi="Times New Roman" w:eastAsia="黑体" w:cs="Times New Roman"/>
          <w:b w:val="0"/>
          <w:bCs w:val="0"/>
          <w:color w:val="auto"/>
          <w:kern w:val="2"/>
          <w:sz w:val="28"/>
          <w:szCs w:val="28"/>
          <w:lang w:val="en-US" w:eastAsia="zh-CN" w:bidi="ar-SA"/>
        </w:rPr>
      </w:pPr>
      <w:bookmarkStart w:id="215" w:name="_Toc9553"/>
      <w:r>
        <w:rPr>
          <w:rFonts w:hint="default" w:ascii="Times New Roman" w:hAnsi="Times New Roman" w:eastAsia="黑体" w:cs="Times New Roman"/>
          <w:b w:val="0"/>
          <w:bCs w:val="0"/>
          <w:color w:val="auto"/>
          <w:kern w:val="2"/>
          <w:sz w:val="28"/>
          <w:szCs w:val="28"/>
          <w:lang w:val="en-US" w:eastAsia="zh-CN" w:bidi="ar-SA"/>
        </w:rPr>
        <w:t>校  准  证  书</w:t>
      </w:r>
      <w:bookmarkEnd w:id="215"/>
    </w:p>
    <w:tbl>
      <w:tblPr>
        <w:tblStyle w:val="89"/>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5358"/>
        <w:gridCol w:w="1199"/>
        <w:gridCol w:w="1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7" w:type="pct"/>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单位名称：</w:t>
            </w:r>
          </w:p>
        </w:tc>
        <w:tc>
          <w:tcPr>
            <w:tcW w:w="2758" w:type="pct"/>
            <w:tcBorders>
              <w:top w:val="nil"/>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c>
          <w:tcPr>
            <w:tcW w:w="617" w:type="pct"/>
            <w:tcBorders>
              <w:top w:val="nil"/>
            </w:tcBorders>
          </w:tcPr>
          <w:p>
            <w:pPr>
              <w:spacing w:line="360" w:lineRule="auto"/>
              <w:jc w:val="distribute"/>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cs="Times New Roman"/>
                <w:color w:val="auto"/>
                <w:sz w:val="24"/>
                <w:szCs w:val="24"/>
                <w:vertAlign w:val="baseline"/>
                <w:lang w:val="en-US" w:eastAsia="zh-CN"/>
              </w:rPr>
              <w:t>编号：</w:t>
            </w:r>
          </w:p>
        </w:tc>
        <w:tc>
          <w:tcPr>
            <w:tcW w:w="877" w:type="pct"/>
            <w:tcBorders>
              <w:top w:val="nil"/>
              <w:bottom w:val="single" w:color="auto" w:sz="4" w:space="0"/>
            </w:tcBorders>
          </w:tcPr>
          <w:p>
            <w:pPr>
              <w:spacing w:line="360" w:lineRule="auto"/>
              <w:jc w:val="left"/>
              <w:rPr>
                <w:rFonts w:hint="default" w:ascii="Times New Roman" w:hAnsi="Times New Roman" w:cs="Times New Roman"/>
                <w:color w:val="auto"/>
                <w:sz w:val="24"/>
                <w:szCs w:val="24"/>
                <w:vertAlign w:val="baseline"/>
              </w:rPr>
            </w:pPr>
          </w:p>
        </w:tc>
      </w:tr>
    </w:tbl>
    <w:p>
      <w:pPr>
        <w:jc w:val="center"/>
        <w:rPr>
          <w:rFonts w:hint="default" w:ascii="Times New Roman" w:hAnsi="Times New Roman" w:eastAsia="黑体" w:cs="Times New Roman"/>
          <w:b w:val="0"/>
          <w:bCs w:val="0"/>
          <w:color w:val="auto"/>
          <w:kern w:val="2"/>
          <w:sz w:val="28"/>
          <w:szCs w:val="28"/>
          <w:lang w:val="en-US" w:eastAsia="zh-CN" w:bidi="ar-SA"/>
        </w:rPr>
      </w:pPr>
    </w:p>
    <w:p>
      <w:pPr>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eastAsia" w:cs="Times New Roman"/>
          <w:b w:val="0"/>
          <w:bCs w:val="0"/>
          <w:color w:val="auto"/>
          <w:kern w:val="2"/>
          <w:sz w:val="24"/>
          <w:szCs w:val="24"/>
          <w:vertAlign w:val="baseline"/>
          <w:lang w:val="en-US" w:eastAsia="zh-CN" w:bidi="ar-SA"/>
        </w:rPr>
        <w:t>B.</w:t>
      </w:r>
      <w:r>
        <w:rPr>
          <w:rFonts w:hint="default" w:ascii="Times New Roman" w:hAnsi="Times New Roman" w:eastAsia="宋体" w:cs="Times New Roman"/>
          <w:b w:val="0"/>
          <w:bCs w:val="0"/>
          <w:color w:val="auto"/>
          <w:kern w:val="2"/>
          <w:sz w:val="24"/>
          <w:szCs w:val="24"/>
          <w:vertAlign w:val="baseline"/>
          <w:lang w:val="en-US" w:eastAsia="zh-CN" w:bidi="ar-SA"/>
        </w:rPr>
        <w:t>1</w:t>
      </w:r>
      <w:r>
        <w:rPr>
          <w:rFonts w:hint="eastAsia" w:cs="Times New Roman"/>
          <w:b w:val="0"/>
          <w:bCs w:val="0"/>
          <w:color w:val="auto"/>
          <w:kern w:val="2"/>
          <w:sz w:val="24"/>
          <w:szCs w:val="24"/>
          <w:vertAlign w:val="baseline"/>
          <w:lang w:val="en-US" w:eastAsia="zh-CN" w:bidi="ar-SA"/>
        </w:rPr>
        <w:t xml:space="preserve"> </w:t>
      </w:r>
      <w:r>
        <w:rPr>
          <w:rFonts w:hint="default" w:ascii="Times New Roman" w:hAnsi="Times New Roman" w:cs="Times New Roman"/>
          <w:b w:val="0"/>
          <w:bCs w:val="0"/>
          <w:color w:val="auto"/>
          <w:kern w:val="2"/>
          <w:sz w:val="24"/>
          <w:szCs w:val="24"/>
          <w:vertAlign w:val="baseline"/>
          <w:lang w:val="en-US" w:eastAsia="zh-CN" w:bidi="ar-SA"/>
        </w:rPr>
        <w:t>固体剂量计辐射</w:t>
      </w:r>
      <w:r>
        <w:rPr>
          <w:rFonts w:hint="default" w:ascii="Times New Roman" w:hAnsi="Times New Roman" w:eastAsia="宋体" w:cs="Times New Roman"/>
          <w:b w:val="0"/>
          <w:bCs w:val="0"/>
          <w:color w:val="auto"/>
          <w:kern w:val="2"/>
          <w:sz w:val="24"/>
          <w:szCs w:val="24"/>
          <w:vertAlign w:val="baseline"/>
          <w:lang w:val="en-US" w:eastAsia="zh-CN" w:bidi="ar-SA"/>
        </w:rPr>
        <w:t>条件</w:t>
      </w:r>
      <w:r>
        <w:rPr>
          <w:rFonts w:hint="default" w:ascii="Times New Roman" w:hAnsi="Times New Roman" w:cs="Times New Roman"/>
          <w:b w:val="0"/>
          <w:bCs w:val="0"/>
          <w:color w:val="auto"/>
          <w:kern w:val="2"/>
          <w:sz w:val="24"/>
          <w:szCs w:val="24"/>
          <w:vertAlign w:val="baseline"/>
          <w:lang w:val="en-US" w:eastAsia="zh-CN" w:bidi="ar-SA"/>
        </w:rPr>
        <w:t>及</w:t>
      </w:r>
      <w:r>
        <w:rPr>
          <w:rFonts w:hint="default" w:ascii="Times New Roman" w:hAnsi="Times New Roman" w:eastAsia="宋体" w:cs="Times New Roman"/>
          <w:b w:val="0"/>
          <w:bCs w:val="0"/>
          <w:color w:val="auto"/>
          <w:kern w:val="2"/>
          <w:sz w:val="24"/>
          <w:szCs w:val="24"/>
          <w:vertAlign w:val="baseline"/>
          <w:lang w:val="en-US" w:eastAsia="zh-CN" w:bidi="ar-SA"/>
        </w:rPr>
        <w:t>辐射剂量</w:t>
      </w:r>
    </w:p>
    <w:p>
      <w:pPr>
        <w:jc w:val="left"/>
        <w:rPr>
          <w:rFonts w:hint="default" w:ascii="Times New Roman" w:hAnsi="Times New Roman" w:eastAsia="宋体" w:cs="Times New Roman"/>
          <w:b w:val="0"/>
          <w:bCs w:val="0"/>
          <w:color w:val="auto"/>
          <w:kern w:val="2"/>
          <w:sz w:val="24"/>
          <w:szCs w:val="24"/>
          <w:vertAlign w:val="baseline"/>
          <w:lang w:val="en-US" w:eastAsia="zh-CN" w:bidi="ar-SA"/>
        </w:rPr>
      </w:pPr>
    </w:p>
    <w:tbl>
      <w:tblPr>
        <w:tblStyle w:val="8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55"/>
        <w:gridCol w:w="1403"/>
        <w:gridCol w:w="1352"/>
        <w:gridCol w:w="1778"/>
        <w:gridCol w:w="1716"/>
        <w:gridCol w:w="1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109" w:type="pct"/>
            <w:vAlign w:val="top"/>
          </w:tcPr>
          <w:p>
            <w:pPr>
              <w:numPr>
                <w:ilvl w:val="0"/>
                <w:numId w:val="0"/>
              </w:numPr>
              <w:spacing w:line="360" w:lineRule="auto"/>
              <w:ind w:left="0" w:leftChars="0" w:firstLine="0" w:firstLineChars="0"/>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sz w:val="24"/>
                <w:szCs w:val="24"/>
                <w:vertAlign w:val="baseline"/>
                <w:lang w:val="en-US" w:eastAsia="zh-CN"/>
              </w:rPr>
              <w:t>源表距（SSD）：</w:t>
            </w:r>
          </w:p>
        </w:tc>
        <w:tc>
          <w:tcPr>
            <w:tcW w:w="722" w:type="pct"/>
            <w:tcBorders>
              <w:bottom w:val="single" w:color="auto" w:sz="4" w:space="0"/>
            </w:tcBorders>
            <w:vAlign w:val="top"/>
          </w:tcPr>
          <w:p>
            <w:pPr>
              <w:numPr>
                <w:ilvl w:val="0"/>
                <w:numId w:val="0"/>
              </w:numPr>
              <w:spacing w:line="360" w:lineRule="auto"/>
              <w:ind w:left="0" w:leftChars="0" w:firstLine="0" w:firstLineChars="0"/>
              <w:jc w:val="righ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sz w:val="24"/>
                <w:szCs w:val="24"/>
                <w:vertAlign w:val="baseline"/>
                <w:lang w:val="en-US" w:eastAsia="zh-CN"/>
              </w:rPr>
              <w:t>cm</w:t>
            </w:r>
          </w:p>
        </w:tc>
        <w:tc>
          <w:tcPr>
            <w:tcW w:w="696" w:type="pct"/>
            <w:tcBorders>
              <w:bottom w:val="nil"/>
            </w:tcBorders>
            <w:vAlign w:val="top"/>
          </w:tcPr>
          <w:p>
            <w:pPr>
              <w:numPr>
                <w:ilvl w:val="0"/>
                <w:numId w:val="0"/>
              </w:numPr>
              <w:spacing w:line="360" w:lineRule="auto"/>
              <w:ind w:left="0" w:leftChars="0" w:firstLine="0" w:firstLineChars="0"/>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sz w:val="24"/>
                <w:szCs w:val="24"/>
                <w:vertAlign w:val="baseline"/>
                <w:lang w:val="en-US" w:eastAsia="zh-CN"/>
              </w:rPr>
              <w:t>辐射野：</w:t>
            </w:r>
          </w:p>
        </w:tc>
        <w:tc>
          <w:tcPr>
            <w:tcW w:w="915" w:type="pct"/>
            <w:tcBorders>
              <w:bottom w:val="single" w:color="auto" w:sz="4" w:space="0"/>
            </w:tcBorders>
            <w:vAlign w:val="top"/>
          </w:tcPr>
          <w:p>
            <w:pPr>
              <w:numPr>
                <w:ilvl w:val="0"/>
                <w:numId w:val="0"/>
              </w:numPr>
              <w:spacing w:line="360" w:lineRule="auto"/>
              <w:ind w:left="0" w:leftChars="0" w:firstLine="0" w:firstLineChars="0"/>
              <w:jc w:val="right"/>
              <w:rPr>
                <w:rFonts w:hint="default" w:ascii="Times New Roman" w:hAnsi="Times New Roman" w:eastAsia="宋体" w:cs="Times New Roman"/>
                <w:b w:val="0"/>
                <w:bCs w:val="0"/>
                <w:color w:val="auto"/>
                <w:kern w:val="2"/>
                <w:sz w:val="24"/>
                <w:szCs w:val="24"/>
                <w:vertAlign w:val="baseline"/>
                <w:lang w:val="en-US" w:eastAsia="zh-CN" w:bidi="ar-SA"/>
              </w:rPr>
            </w:pPr>
            <w:r>
              <w:rPr>
                <w:rFonts w:hint="eastAsia" w:cs="Times New Roman"/>
                <w:color w:val="auto"/>
                <w:sz w:val="24"/>
                <w:szCs w:val="24"/>
                <w:vertAlign w:val="baseline"/>
                <w:lang w:val="en-US" w:eastAsia="zh-CN"/>
              </w:rPr>
              <w:t xml:space="preserve">cm×  </w:t>
            </w:r>
            <w:r>
              <w:rPr>
                <w:rFonts w:hint="default" w:ascii="Times New Roman" w:hAnsi="Times New Roman" w:cs="Times New Roman"/>
                <w:color w:val="auto"/>
                <w:sz w:val="24"/>
                <w:szCs w:val="24"/>
                <w:vertAlign w:val="baseline"/>
                <w:lang w:val="en-US" w:eastAsia="zh-CN"/>
              </w:rPr>
              <w:t>cm</w:t>
            </w:r>
          </w:p>
        </w:tc>
        <w:tc>
          <w:tcPr>
            <w:tcW w:w="883" w:type="pct"/>
            <w:tcBorders>
              <w:bottom w:val="nil"/>
            </w:tcBorders>
            <w:vAlign w:val="top"/>
          </w:tcPr>
          <w:p>
            <w:pPr>
              <w:numPr>
                <w:ilvl w:val="0"/>
                <w:numId w:val="0"/>
              </w:numPr>
              <w:spacing w:line="360" w:lineRule="auto"/>
              <w:ind w:left="0" w:leftChars="0" w:firstLine="0" w:firstLineChars="0"/>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eastAsia" w:cs="Times New Roman"/>
                <w:color w:val="auto"/>
                <w:sz w:val="24"/>
                <w:szCs w:val="24"/>
                <w:vertAlign w:val="baseline"/>
                <w:lang w:val="en-US" w:eastAsia="zh-CN"/>
              </w:rPr>
              <w:t>校准</w:t>
            </w:r>
            <w:r>
              <w:rPr>
                <w:rFonts w:hint="default" w:ascii="Times New Roman" w:hAnsi="Times New Roman" w:cs="Times New Roman"/>
                <w:color w:val="auto"/>
                <w:sz w:val="24"/>
                <w:szCs w:val="24"/>
                <w:vertAlign w:val="baseline"/>
                <w:lang w:val="en-US" w:eastAsia="zh-CN"/>
              </w:rPr>
              <w:t>深度：</w:t>
            </w:r>
          </w:p>
        </w:tc>
        <w:tc>
          <w:tcPr>
            <w:tcW w:w="672" w:type="pct"/>
            <w:tcBorders>
              <w:bottom w:val="single" w:color="auto" w:sz="4" w:space="0"/>
            </w:tcBorders>
            <w:vAlign w:val="top"/>
          </w:tcPr>
          <w:p>
            <w:pPr>
              <w:numPr>
                <w:ilvl w:val="0"/>
                <w:numId w:val="0"/>
              </w:numPr>
              <w:spacing w:line="360" w:lineRule="auto"/>
              <w:ind w:left="0" w:leftChars="0" w:firstLine="0" w:firstLineChars="0"/>
              <w:jc w:val="righ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sz w:val="24"/>
                <w:szCs w:val="24"/>
                <w:vertAlign w:val="baseline"/>
                <w:lang w:val="en-US" w:eastAsia="zh-CN"/>
              </w:rPr>
              <w:t>cm</w:t>
            </w:r>
          </w:p>
        </w:tc>
      </w:tr>
    </w:tbl>
    <w:p>
      <w:pPr>
        <w:jc w:val="center"/>
        <w:rPr>
          <w:rFonts w:hint="default" w:ascii="Times New Roman" w:hAnsi="Times New Roman" w:eastAsia="黑体" w:cs="Times New Roman"/>
          <w:b w:val="0"/>
          <w:bCs w:val="0"/>
          <w:color w:val="auto"/>
          <w:kern w:val="2"/>
          <w:sz w:val="28"/>
          <w:szCs w:val="28"/>
          <w:lang w:val="en-US" w:eastAsia="zh-CN" w:bidi="ar-SA"/>
        </w:rPr>
      </w:pPr>
    </w:p>
    <w:tbl>
      <w:tblPr>
        <w:tblStyle w:val="8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65"/>
        <w:gridCol w:w="1635"/>
        <w:gridCol w:w="1636"/>
        <w:gridCol w:w="1636"/>
        <w:gridCol w:w="16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pct"/>
          </w:tcPr>
          <w:p>
            <w:pPr>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vertAlign w:val="baseline"/>
                <w:lang w:val="en-US" w:eastAsia="zh-CN"/>
              </w:rPr>
              <w:t>固体剂量计编号：</w:t>
            </w:r>
          </w:p>
        </w:tc>
        <w:tc>
          <w:tcPr>
            <w:tcW w:w="842"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1</w:t>
            </w:r>
          </w:p>
        </w:tc>
        <w:tc>
          <w:tcPr>
            <w:tcW w:w="842"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2</w:t>
            </w:r>
          </w:p>
        </w:tc>
        <w:tc>
          <w:tcPr>
            <w:tcW w:w="842"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3</w:t>
            </w:r>
          </w:p>
        </w:tc>
        <w:tc>
          <w:tcPr>
            <w:tcW w:w="842"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30" w:type="pct"/>
          </w:tcPr>
          <w:p>
            <w:pPr>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vertAlign w:val="baseline"/>
                <w:lang w:val="en-US" w:eastAsia="zh-CN"/>
              </w:rPr>
              <w:t>辐照剂量 / Gy：</w:t>
            </w:r>
          </w:p>
        </w:tc>
        <w:tc>
          <w:tcPr>
            <w:tcW w:w="842"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c>
          <w:tcPr>
            <w:tcW w:w="842"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c>
          <w:tcPr>
            <w:tcW w:w="842"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c>
          <w:tcPr>
            <w:tcW w:w="842"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本底</w:t>
            </w:r>
          </w:p>
        </w:tc>
      </w:tr>
    </w:tbl>
    <w:p>
      <w:pPr>
        <w:jc w:val="center"/>
        <w:rPr>
          <w:rFonts w:hint="default" w:ascii="Times New Roman" w:hAnsi="Times New Roman" w:eastAsia="黑体" w:cs="Times New Roman"/>
          <w:b w:val="0"/>
          <w:bCs w:val="0"/>
          <w:color w:val="auto"/>
          <w:kern w:val="2"/>
          <w:sz w:val="28"/>
          <w:szCs w:val="28"/>
          <w:lang w:val="en-US" w:eastAsia="zh-CN" w:bidi="ar-SA"/>
        </w:rPr>
      </w:pPr>
    </w:p>
    <w:p>
      <w:pPr>
        <w:jc w:val="left"/>
        <w:rPr>
          <w:rFonts w:hint="default" w:ascii="Times New Roman" w:hAnsi="Times New Roman" w:cs="Times New Roman"/>
          <w:b w:val="0"/>
          <w:bCs w:val="0"/>
          <w:color w:val="auto"/>
          <w:kern w:val="2"/>
          <w:sz w:val="24"/>
          <w:szCs w:val="24"/>
          <w:vertAlign w:val="baseline"/>
          <w:lang w:val="en-US" w:eastAsia="zh-CN" w:bidi="ar-SA"/>
        </w:rPr>
      </w:pPr>
      <w:r>
        <w:rPr>
          <w:rFonts w:hint="eastAsia" w:cs="Times New Roman"/>
          <w:b w:val="0"/>
          <w:bCs w:val="0"/>
          <w:color w:val="auto"/>
          <w:kern w:val="2"/>
          <w:sz w:val="24"/>
          <w:szCs w:val="24"/>
          <w:vertAlign w:val="baseline"/>
          <w:lang w:val="en-US" w:eastAsia="zh-CN" w:bidi="ar-SA"/>
        </w:rPr>
        <w:t>B.</w:t>
      </w:r>
      <w:r>
        <w:rPr>
          <w:rFonts w:hint="default" w:ascii="Times New Roman" w:hAnsi="Times New Roman" w:eastAsia="宋体" w:cs="Times New Roman"/>
          <w:b w:val="0"/>
          <w:bCs w:val="0"/>
          <w:color w:val="auto"/>
          <w:kern w:val="2"/>
          <w:sz w:val="24"/>
          <w:szCs w:val="24"/>
          <w:vertAlign w:val="baseline"/>
          <w:lang w:val="en-US" w:eastAsia="zh-CN" w:bidi="ar-SA"/>
        </w:rPr>
        <w:t>2</w:t>
      </w:r>
      <w:r>
        <w:rPr>
          <w:rFonts w:hint="eastAsia" w:cs="Times New Roman"/>
          <w:b w:val="0"/>
          <w:bCs w:val="0"/>
          <w:color w:val="auto"/>
          <w:kern w:val="2"/>
          <w:sz w:val="24"/>
          <w:szCs w:val="24"/>
          <w:vertAlign w:val="baseline"/>
          <w:lang w:val="en-US" w:eastAsia="zh-CN" w:bidi="ar-SA"/>
        </w:rPr>
        <w:t xml:space="preserve"> </w:t>
      </w:r>
      <w:r>
        <w:rPr>
          <w:rFonts w:hint="default" w:ascii="Times New Roman" w:hAnsi="Times New Roman" w:cs="Times New Roman"/>
          <w:b w:val="0"/>
          <w:bCs w:val="0"/>
          <w:color w:val="auto"/>
          <w:kern w:val="2"/>
          <w:sz w:val="24"/>
          <w:szCs w:val="24"/>
          <w:vertAlign w:val="baseline"/>
          <w:lang w:val="en-US" w:eastAsia="zh-CN" w:bidi="ar-SA"/>
        </w:rPr>
        <w:t>被校准单位测量值</w:t>
      </w:r>
    </w:p>
    <w:p>
      <w:pPr>
        <w:jc w:val="left"/>
        <w:rPr>
          <w:rFonts w:hint="default" w:ascii="Times New Roman" w:hAnsi="Times New Roman" w:cs="Times New Roman"/>
          <w:b w:val="0"/>
          <w:bCs w:val="0"/>
          <w:color w:val="auto"/>
          <w:kern w:val="2"/>
          <w:sz w:val="24"/>
          <w:szCs w:val="24"/>
          <w:vertAlign w:val="baseline"/>
          <w:lang w:val="en-US" w:eastAsia="zh-CN" w:bidi="ar-SA"/>
        </w:rPr>
      </w:pPr>
    </w:p>
    <w:tbl>
      <w:tblPr>
        <w:tblStyle w:val="89"/>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6"/>
        <w:gridCol w:w="1634"/>
        <w:gridCol w:w="1634"/>
        <w:gridCol w:w="1634"/>
        <w:gridCol w:w="16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5" w:type="pct"/>
          </w:tcPr>
          <w:p>
            <w:pPr>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vertAlign w:val="baseline"/>
                <w:lang w:val="en-US" w:eastAsia="zh-CN"/>
              </w:rPr>
              <w:t>固体剂量计编号：</w:t>
            </w:r>
          </w:p>
        </w:tc>
        <w:tc>
          <w:tcPr>
            <w:tcW w:w="841"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1</w:t>
            </w:r>
          </w:p>
        </w:tc>
        <w:tc>
          <w:tcPr>
            <w:tcW w:w="841"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2</w:t>
            </w:r>
          </w:p>
        </w:tc>
        <w:tc>
          <w:tcPr>
            <w:tcW w:w="841"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3</w:t>
            </w:r>
          </w:p>
        </w:tc>
        <w:tc>
          <w:tcPr>
            <w:tcW w:w="841" w:type="pct"/>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35" w:type="pct"/>
          </w:tcPr>
          <w:p>
            <w:pPr>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cs="Times New Roman"/>
                <w:color w:val="auto"/>
                <w:vertAlign w:val="baseline"/>
                <w:lang w:val="en-US" w:eastAsia="zh-CN"/>
              </w:rPr>
              <w:t>实测剂量 / Gy：</w:t>
            </w:r>
          </w:p>
        </w:tc>
        <w:tc>
          <w:tcPr>
            <w:tcW w:w="841"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c>
          <w:tcPr>
            <w:tcW w:w="841"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c>
          <w:tcPr>
            <w:tcW w:w="841"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c>
          <w:tcPr>
            <w:tcW w:w="841" w:type="pct"/>
            <w:tcBorders>
              <w:bottom w:val="single" w:color="auto" w:sz="4" w:space="0"/>
            </w:tcBorders>
            <w:vAlign w:val="top"/>
          </w:tcPr>
          <w:p>
            <w:pPr>
              <w:jc w:val="center"/>
              <w:rPr>
                <w:rFonts w:hint="default" w:ascii="Times New Roman" w:hAnsi="Times New Roman" w:eastAsia="宋体" w:cs="Times New Roman"/>
                <w:b w:val="0"/>
                <w:bCs w:val="0"/>
                <w:color w:val="auto"/>
                <w:kern w:val="2"/>
                <w:sz w:val="24"/>
                <w:szCs w:val="24"/>
                <w:vertAlign w:val="baseline"/>
                <w:lang w:val="en-US" w:eastAsia="zh-CN" w:bidi="ar-SA"/>
              </w:rPr>
            </w:pPr>
          </w:p>
        </w:tc>
      </w:tr>
    </w:tbl>
    <w:p>
      <w:pPr>
        <w:jc w:val="center"/>
        <w:rPr>
          <w:rFonts w:hint="default" w:ascii="Times New Roman" w:hAnsi="Times New Roman" w:eastAsia="黑体" w:cs="Times New Roman"/>
          <w:b w:val="0"/>
          <w:bCs w:val="0"/>
          <w:color w:val="auto"/>
          <w:kern w:val="2"/>
          <w:sz w:val="28"/>
          <w:szCs w:val="28"/>
          <w:lang w:val="en-US" w:eastAsia="zh-CN" w:bidi="ar-SA"/>
        </w:rPr>
      </w:pPr>
    </w:p>
    <w:p>
      <w:pPr>
        <w:jc w:val="left"/>
        <w:rPr>
          <w:rFonts w:hint="default" w:ascii="Times New Roman" w:hAnsi="Times New Roman" w:cs="Times New Roman"/>
          <w:b w:val="0"/>
          <w:bCs w:val="0"/>
          <w:color w:val="auto"/>
          <w:kern w:val="2"/>
          <w:sz w:val="24"/>
          <w:szCs w:val="24"/>
          <w:vertAlign w:val="baseline"/>
          <w:lang w:val="en-US" w:eastAsia="zh-CN" w:bidi="ar-SA"/>
        </w:rPr>
      </w:pPr>
      <w:r>
        <w:rPr>
          <w:rFonts w:hint="eastAsia" w:cs="Times New Roman"/>
          <w:b w:val="0"/>
          <w:bCs w:val="0"/>
          <w:color w:val="auto"/>
          <w:kern w:val="2"/>
          <w:sz w:val="24"/>
          <w:szCs w:val="24"/>
          <w:vertAlign w:val="baseline"/>
          <w:lang w:val="en-US" w:eastAsia="zh-CN" w:bidi="ar-SA"/>
        </w:rPr>
        <w:t xml:space="preserve">B.3 </w:t>
      </w:r>
      <w:r>
        <w:rPr>
          <w:rFonts w:hint="default" w:ascii="Times New Roman" w:hAnsi="Times New Roman" w:cs="Times New Roman"/>
          <w:b w:val="0"/>
          <w:bCs w:val="0"/>
          <w:color w:val="auto"/>
          <w:kern w:val="2"/>
          <w:sz w:val="24"/>
          <w:szCs w:val="24"/>
          <w:vertAlign w:val="baseline"/>
          <w:lang w:val="en-US" w:eastAsia="zh-CN" w:bidi="ar-SA"/>
        </w:rPr>
        <w:t>校准结果</w:t>
      </w:r>
    </w:p>
    <w:p>
      <w:pPr>
        <w:jc w:val="center"/>
        <w:rPr>
          <w:rFonts w:hint="default" w:hAnsi="Cambria Math" w:cs="Times New Roman"/>
          <w:i w:val="0"/>
          <w:color w:val="auto"/>
          <w:kern w:val="2"/>
          <w:sz w:val="24"/>
          <w:szCs w:val="24"/>
          <w:vertAlign w:val="baseline"/>
          <w:lang w:val="en-US" w:eastAsia="zh-CN" w:bidi="ar-SA"/>
        </w:rPr>
      </w:pPr>
      <m:oMathPara>
        <m:oMath>
          <m:sSub>
            <m:sSubPr>
              <m:ctrlPr>
                <w:rPr>
                  <w:rFonts w:hint="default" w:ascii="Cambria Math" w:hAnsi="Cambria Math" w:cs="Times New Roman"/>
                  <w:i/>
                  <w:color w:val="auto"/>
                  <w:kern w:val="28"/>
                  <w:szCs w:val="24"/>
                  <w:lang w:val="en-US"/>
                </w:rPr>
              </m:ctrlPr>
            </m:sSubPr>
            <m:e>
              <m:r>
                <m:rPr/>
                <w:rPr>
                  <w:rFonts w:hint="default" w:ascii="Cambria Math" w:hAnsi="Cambria Math" w:cs="Times New Roman"/>
                  <w:color w:val="auto"/>
                  <w:kern w:val="28"/>
                  <w:szCs w:val="24"/>
                  <w:lang w:val="en-US" w:eastAsia="zh-CN"/>
                </w:rPr>
                <m:t>N</m:t>
              </m:r>
              <m:ctrlPr>
                <w:rPr>
                  <w:rFonts w:hint="default" w:ascii="Cambria Math" w:hAnsi="Cambria Math" w:cs="Times New Roman"/>
                  <w:i/>
                  <w:color w:val="auto"/>
                  <w:kern w:val="28"/>
                  <w:szCs w:val="24"/>
                  <w:lang w:val="en-US"/>
                </w:rPr>
              </m:ctrlPr>
            </m:e>
            <m:sub>
              <m:r>
                <m:rPr/>
                <w:rPr>
                  <w:rFonts w:hint="default" w:ascii="Cambria Math" w:hAnsi="Cambria Math" w:cs="Times New Roman"/>
                  <w:color w:val="auto"/>
                  <w:kern w:val="28"/>
                  <w:szCs w:val="24"/>
                  <w:lang w:val="en-US" w:eastAsia="zh-CN"/>
                </w:rPr>
                <m:t>D,w</m:t>
              </m:r>
              <m:ctrlPr>
                <w:rPr>
                  <w:rFonts w:hint="default" w:ascii="Cambria Math" w:hAnsi="Cambria Math" w:cs="Times New Roman"/>
                  <w:i/>
                  <w:color w:val="auto"/>
                  <w:kern w:val="28"/>
                  <w:szCs w:val="24"/>
                  <w:lang w:val="en-US"/>
                </w:rPr>
              </m:ctrlPr>
            </m:sub>
          </m:sSub>
          <m:r>
            <m:rPr/>
            <w:rPr>
              <w:rFonts w:hint="default" w:ascii="Cambria Math" w:hAnsi="Cambria Math" w:cs="Times New Roman"/>
              <w:color w:val="auto"/>
              <w:kern w:val="2"/>
              <w:sz w:val="24"/>
              <w:szCs w:val="24"/>
              <w:vertAlign w:val="baseline"/>
              <w:lang w:val="en-US" w:eastAsia="zh-CN" w:bidi="ar-SA"/>
            </w:rPr>
            <m:t xml:space="preserve">=        </m:t>
          </m:r>
        </m:oMath>
      </m:oMathPara>
    </w:p>
    <w:p>
      <w:pPr>
        <w:jc w:val="center"/>
        <w:rPr>
          <w:rFonts w:hint="default" w:hAnsi="Cambria Math" w:cs="Times New Roman"/>
          <w:i w:val="0"/>
          <w:color w:val="auto"/>
          <w:kern w:val="2"/>
          <w:sz w:val="24"/>
          <w:szCs w:val="24"/>
          <w:vertAlign w:val="baseline"/>
          <w:lang w:val="en-US" w:eastAsia="zh-CN" w:bidi="ar-SA"/>
        </w:rPr>
      </w:pPr>
    </w:p>
    <w:p>
      <w:pPr>
        <w:jc w:val="center"/>
        <w:rPr>
          <w:rFonts w:hint="default" w:hAnsi="Cambria Math" w:cs="Times New Roman"/>
          <w:i w:val="0"/>
          <w:color w:val="auto"/>
          <w:kern w:val="2"/>
          <w:sz w:val="24"/>
          <w:szCs w:val="24"/>
          <w:vertAlign w:val="baseline"/>
          <w:lang w:val="en-US" w:eastAsia="zh-CN" w:bidi="ar-SA"/>
        </w:rPr>
      </w:pPr>
    </w:p>
    <w:p>
      <w:pPr>
        <w:jc w:val="left"/>
        <w:rPr>
          <w:rFonts w:hint="default" w:ascii="Times New Roman" w:hAnsi="Times New Roman" w:eastAsia="宋体" w:cs="Times New Roman"/>
          <w:b w:val="0"/>
          <w:bCs w:val="0"/>
          <w:color w:val="auto"/>
          <w:kern w:val="2"/>
          <w:sz w:val="24"/>
          <w:szCs w:val="24"/>
          <w:vertAlign w:val="baseline"/>
          <w:lang w:val="en-US" w:eastAsia="zh-CN" w:bidi="ar-SA"/>
        </w:rPr>
      </w:pPr>
      <w:r>
        <w:rPr>
          <w:rFonts w:hint="eastAsia" w:cs="Times New Roman"/>
          <w:b w:val="0"/>
          <w:bCs w:val="0"/>
          <w:color w:val="auto"/>
          <w:kern w:val="2"/>
          <w:sz w:val="24"/>
          <w:szCs w:val="24"/>
          <w:vertAlign w:val="baseline"/>
          <w:lang w:val="en-US" w:eastAsia="zh-CN" w:bidi="ar-SA"/>
        </w:rPr>
        <w:t>B.</w:t>
      </w:r>
      <w:r>
        <w:rPr>
          <w:rFonts w:hint="default" w:ascii="Times New Roman" w:hAnsi="Times New Roman" w:eastAsia="宋体" w:cs="Times New Roman"/>
          <w:b w:val="0"/>
          <w:bCs w:val="0"/>
          <w:color w:val="auto"/>
          <w:kern w:val="2"/>
          <w:sz w:val="24"/>
          <w:szCs w:val="24"/>
          <w:vertAlign w:val="baseline"/>
          <w:lang w:val="en-US" w:eastAsia="zh-CN" w:bidi="ar-SA"/>
        </w:rPr>
        <w:t>4</w:t>
      </w:r>
      <w:r>
        <w:rPr>
          <w:rFonts w:hint="eastAsia" w:cs="Times New Roman"/>
          <w:b w:val="0"/>
          <w:bCs w:val="0"/>
          <w:color w:val="auto"/>
          <w:kern w:val="2"/>
          <w:sz w:val="24"/>
          <w:szCs w:val="24"/>
          <w:vertAlign w:val="baseline"/>
          <w:lang w:val="en-US" w:eastAsia="zh-CN" w:bidi="ar-SA"/>
        </w:rPr>
        <w:t xml:space="preserve"> </w:t>
      </w:r>
      <w:r>
        <w:rPr>
          <w:rFonts w:hint="default" w:ascii="Times New Roman" w:hAnsi="Times New Roman" w:cs="Times New Roman"/>
          <w:b w:val="0"/>
          <w:bCs w:val="0"/>
          <w:color w:val="auto"/>
          <w:kern w:val="2"/>
          <w:sz w:val="24"/>
          <w:szCs w:val="24"/>
          <w:vertAlign w:val="baseline"/>
          <w:lang w:val="en-US" w:eastAsia="zh-CN" w:bidi="ar-SA"/>
        </w:rPr>
        <w:t>校准意见</w:t>
      </w:r>
    </w:p>
    <w:p>
      <w:pPr>
        <w:jc w:val="left"/>
        <w:rPr>
          <w:rFonts w:hint="default" w:ascii="Times New Roman" w:hAnsi="Times New Roman" w:cs="Times New Roman"/>
          <w:b w:val="0"/>
          <w:bCs w:val="0"/>
          <w:color w:val="auto"/>
          <w:kern w:val="2"/>
          <w:sz w:val="24"/>
          <w:szCs w:val="24"/>
          <w:vertAlign w:val="baseline"/>
          <w:lang w:val="en-US" w:eastAsia="zh-CN" w:bidi="ar-SA"/>
        </w:rPr>
      </w:pPr>
    </w:p>
    <w:p>
      <w:pPr>
        <w:jc w:val="left"/>
        <w:rPr>
          <w:rFonts w:hint="default" w:ascii="Times New Roman" w:hAnsi="Times New Roman" w:cs="Times New Roman"/>
          <w:b w:val="0"/>
          <w:bCs w:val="0"/>
          <w:color w:val="auto"/>
          <w:kern w:val="2"/>
          <w:sz w:val="24"/>
          <w:szCs w:val="24"/>
          <w:vertAlign w:val="baseline"/>
          <w:lang w:val="en-US" w:eastAsia="zh-CN" w:bidi="ar-SA"/>
        </w:rPr>
      </w:pPr>
    </w:p>
    <w:p>
      <w:pPr>
        <w:wordWrap w:val="0"/>
        <w:jc w:val="right"/>
        <w:rPr>
          <w:rFonts w:hint="default" w:ascii="Times New Roman" w:hAnsi="Times New Roman" w:cs="Times New Roman"/>
          <w:b w:val="0"/>
          <w:bCs w:val="0"/>
          <w:color w:val="auto"/>
          <w:kern w:val="2"/>
          <w:sz w:val="24"/>
          <w:szCs w:val="24"/>
          <w:vertAlign w:val="baseline"/>
          <w:lang w:val="en-US" w:eastAsia="zh-CN" w:bidi="ar-SA"/>
        </w:rPr>
      </w:pPr>
      <w:r>
        <w:rPr>
          <w:rFonts w:hint="default" w:ascii="Times New Roman" w:hAnsi="Times New Roman" w:cs="Times New Roman"/>
          <w:b w:val="0"/>
          <w:bCs w:val="0"/>
          <w:color w:val="auto"/>
          <w:kern w:val="2"/>
          <w:sz w:val="24"/>
          <w:szCs w:val="24"/>
          <w:vertAlign w:val="baseline"/>
          <w:lang w:val="en-US" w:eastAsia="zh-CN" w:bidi="ar-SA"/>
        </w:rPr>
        <w:t xml:space="preserve">组织校准单位      </w:t>
      </w:r>
      <w:r>
        <w:rPr>
          <w:rFonts w:hint="eastAsia" w:cs="Times New Roman"/>
          <w:b w:val="0"/>
          <w:bCs w:val="0"/>
          <w:color w:val="auto"/>
          <w:kern w:val="2"/>
          <w:sz w:val="24"/>
          <w:szCs w:val="24"/>
          <w:vertAlign w:val="baseline"/>
          <w:lang w:val="en-US" w:eastAsia="zh-CN" w:bidi="ar-SA"/>
        </w:rPr>
        <w:t xml:space="preserve">     </w:t>
      </w:r>
    </w:p>
    <w:p>
      <w:pPr>
        <w:jc w:val="center"/>
        <w:rPr>
          <w:rFonts w:hint="default" w:ascii="Times New Roman" w:hAnsi="Times New Roman" w:eastAsia="黑体" w:cs="Times New Roman"/>
          <w:b w:val="0"/>
          <w:bCs w:val="0"/>
          <w:color w:val="auto"/>
          <w:kern w:val="2"/>
          <w:sz w:val="28"/>
          <w:szCs w:val="28"/>
          <w:lang w:val="en-US" w:eastAsia="zh-CN" w:bidi="ar-SA"/>
        </w:rPr>
      </w:pPr>
      <w:r>
        <w:rPr>
          <w:rFonts w:hint="default" w:ascii="Times New Roman" w:hAnsi="Times New Roman" w:cs="Times New Roman"/>
          <w:color w:val="auto"/>
        </w:rPr>
        <mc:AlternateContent>
          <mc:Choice Requires="wps">
            <w:drawing>
              <wp:anchor distT="0" distB="0" distL="114300" distR="114300" simplePos="0" relativeHeight="251667456" behindDoc="0" locked="0" layoutInCell="1" allowOverlap="1">
                <wp:simplePos x="0" y="0"/>
                <wp:positionH relativeFrom="column">
                  <wp:posOffset>2222500</wp:posOffset>
                </wp:positionH>
                <wp:positionV relativeFrom="paragraph">
                  <wp:posOffset>29845</wp:posOffset>
                </wp:positionV>
                <wp:extent cx="1526540" cy="0"/>
                <wp:effectExtent l="0" t="9525" r="12700" b="13335"/>
                <wp:wrapNone/>
                <wp:docPr id="6" name="直接连接符 6"/>
                <wp:cNvGraphicFramePr/>
                <a:graphic xmlns:a="http://schemas.openxmlformats.org/drawingml/2006/main">
                  <a:graphicData uri="http://schemas.microsoft.com/office/word/2010/wordprocessingShape">
                    <wps:wsp>
                      <wps:cNvCnPr/>
                      <wps:spPr>
                        <a:xfrm>
                          <a:off x="0" y="0"/>
                          <a:ext cx="15265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5pt;margin-top:2.35pt;height:0pt;width:120.2pt;z-index:251667456;mso-width-relative:page;mso-height-relative:page;" filled="f" stroked="t" coordsize="21600,21600" o:gfxdata="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zNMVK1AAAAAcBAAAPAAAAAAAAAAEAIAAA&#10;ACIAAABkcnMvZG93bnJldi54bWxQSwECFAAUAAAACACHTuJA/epEDtcBAACbAwAADgAAAAAAAAAB&#10;ACAAAAAjAQAAZHJzL2Uyb0RvYy54bWxQSwUGAAAAAAYABgBZAQAAbAUAAAAA&#10;">
                <v:fill on="f" focussize="0,0"/>
                <v:stroke weight="1.5pt" color="#000000 [3213]" joinstyle="round"/>
                <v:imagedata o:title=""/>
                <o:lock v:ext="edit" aspectratio="f"/>
              </v:line>
            </w:pict>
          </mc:Fallback>
        </mc:AlternateContent>
      </w:r>
      <w:r>
        <w:rPr>
          <w:rFonts w:hint="default" w:ascii="Times New Roman" w:hAnsi="Times New Roman" w:cs="Times New Roman"/>
          <w:color w:val="auto"/>
        </w:rPr>
        <mc:AlternateContent>
          <mc:Choice Requires="wps">
            <w:drawing>
              <wp:anchor distT="0" distB="0" distL="114300" distR="114300" simplePos="0" relativeHeight="251666432" behindDoc="0" locked="0" layoutInCell="1" allowOverlap="1">
                <wp:simplePos x="0" y="0"/>
                <wp:positionH relativeFrom="column">
                  <wp:posOffset>2222500</wp:posOffset>
                </wp:positionH>
                <wp:positionV relativeFrom="paragraph">
                  <wp:posOffset>8401685</wp:posOffset>
                </wp:positionV>
                <wp:extent cx="1526540" cy="0"/>
                <wp:effectExtent l="0" t="9525" r="12700" b="13335"/>
                <wp:wrapNone/>
                <wp:docPr id="485" name="直接连接符 485"/>
                <wp:cNvGraphicFramePr/>
                <a:graphic xmlns:a="http://schemas.openxmlformats.org/drawingml/2006/main">
                  <a:graphicData uri="http://schemas.microsoft.com/office/word/2010/wordprocessingShape">
                    <wps:wsp>
                      <wps:cNvCnPr/>
                      <wps:spPr>
                        <a:xfrm>
                          <a:off x="0" y="0"/>
                          <a:ext cx="152654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5pt;margin-top:661.55pt;height:0pt;width:120.2pt;z-index:251666432;mso-width-relative:page;mso-height-relative:page;" filled="f" stroked="t" coordsize="21600,21600" o:gfxdata="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FSyZgdgAAAANAQAADwAAAAAA&#10;AAABACAAAAAiAAAAZHJzL2Rvd25yZXYueG1sUEsBAhQAFAAAAAgAh07iQD8NgEPaAQAAnwMAAA4A&#10;AAAAAAAAAQAgAAAAJwEAAGRycy9lMm9Eb2MueG1sUEsFBgAAAAAGAAYAWQEAAHMFAAAAAA==&#10;">
                <v:fill on="f" focussize="0,0"/>
                <v:stroke weight="1.5pt" color="#000000 [3213]" joinstyle="round"/>
                <v:imagedata o:title=""/>
                <o:lock v:ext="edit" aspectratio="f"/>
              </v:line>
            </w:pict>
          </mc:Fallback>
        </mc:AlternateContent>
      </w:r>
    </w:p>
    <w:sectPr>
      <w:pgSz w:w="11906" w:h="16838"/>
      <w:pgMar w:top="1524" w:right="1274" w:bottom="567"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framePr w:wrap="around" w:vAnchor="text" w:hAnchor="margin" w:xAlign="inside" w:y="1"/>
      <w:rPr>
        <w:rStyle w:val="98"/>
      </w:rPr>
    </w:pPr>
    <w:r>
      <w:rPr>
        <w:rStyle w:val="98"/>
      </w:rPr>
      <w:fldChar w:fldCharType="begin"/>
    </w:r>
    <w:r>
      <w:rPr>
        <w:rStyle w:val="98"/>
      </w:rPr>
      <w:instrText xml:space="preserve">PAGE  </w:instrText>
    </w:r>
    <w:r>
      <w:rPr>
        <w:rStyle w:val="98"/>
      </w:rPr>
      <w:fldChar w:fldCharType="separate"/>
    </w:r>
    <w:r>
      <w:rPr>
        <w:rStyle w:val="98"/>
      </w:rPr>
      <w:t>24</w:t>
    </w:r>
    <w:r>
      <w:rPr>
        <w:rStyle w:val="98"/>
      </w:rPr>
      <w:fldChar w:fldCharType="end"/>
    </w:r>
  </w:p>
  <w:p>
    <w:pPr>
      <w:pStyle w:val="56"/>
      <w:ind w:right="36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framePr w:wrap="around" w:vAnchor="text" w:hAnchor="margin" w:xAlign="inside" w:y="1"/>
      <w:rPr>
        <w:rStyle w:val="98"/>
      </w:rPr>
    </w:pPr>
    <w:r>
      <w:rPr>
        <w:rStyle w:val="98"/>
      </w:rPr>
      <w:fldChar w:fldCharType="begin"/>
    </w:r>
    <w:r>
      <w:rPr>
        <w:rStyle w:val="98"/>
      </w:rPr>
      <w:instrText xml:space="preserve">PAGE  </w:instrText>
    </w:r>
    <w:r>
      <w:rPr>
        <w:rStyle w:val="98"/>
      </w:rPr>
      <w:fldChar w:fldCharType="end"/>
    </w:r>
  </w:p>
  <w:p>
    <w:pPr>
      <w:pStyle w:val="5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pPr>
      <w:r>
        <w:separator/>
      </w:r>
    </w:p>
  </w:footnote>
  <w:footnote w:type="continuationSeparator" w:id="1">
    <w:p>
      <w:pPr>
        <w:spacing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8" w:lineRule="auto"/>
      <w:jc w:val="center"/>
    </w:pPr>
    <w: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259715</wp:posOffset>
              </wp:positionV>
              <wp:extent cx="6073140" cy="635"/>
              <wp:effectExtent l="15240" t="9525" r="7620" b="8890"/>
              <wp:wrapNone/>
              <wp:docPr id="1" name="AutoShape 2"/>
              <wp:cNvGraphicFramePr/>
              <a:graphic xmlns:a="http://schemas.openxmlformats.org/drawingml/2006/main">
                <a:graphicData uri="http://schemas.microsoft.com/office/word/2010/wordprocessingShape">
                  <wps:wsp>
                    <wps:cNvCnPr>
                      <a:cxnSpLocks noChangeShapeType="1"/>
                    </wps:cNvCnPr>
                    <wps:spPr bwMode="auto">
                      <a:xfrm>
                        <a:off x="0" y="0"/>
                        <a:ext cx="6073140" cy="635"/>
                      </a:xfrm>
                      <a:prstGeom prst="straightConnector1">
                        <a:avLst/>
                      </a:prstGeom>
                      <a:noFill/>
                      <a:ln w="12700">
                        <a:solidFill>
                          <a:srgbClr val="000000"/>
                        </a:solidFill>
                        <a:round/>
                      </a:ln>
                    </wps:spPr>
                    <wps:bodyPr/>
                  </wps:wsp>
                </a:graphicData>
              </a:graphic>
            </wp:anchor>
          </w:drawing>
        </mc:Choice>
        <mc:Fallback>
          <w:pict>
            <v:shape id="AutoShape 2" o:spid="_x0000_s1026" o:spt="32" type="#_x0000_t32" style="position:absolute;left:0pt;margin-left:0pt;margin-top:20.45pt;height:0.05pt;width:478.2pt;z-index:251664384;mso-width-relative:page;mso-height-relative:page;" filled="f" stroked="t" coordsize="21600,21600" o:gfxdata="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YKf0DTAAAABgEAAA8AAAAAAAAAAQAgAAAA&#10;IgAAAGRycy9kb3ducmV2LnhtbFBLAQIUABQAAAAIAIdO4kCLW5QU1wEAALUDAAAOAAAAAAAAAAEA&#10;IAAAACIBAABkcnMvZTJvRG9jLnhtbFBLBQYAAAAABgAGAFkBAABrBQAAAAA=&#10;">
              <v:fill on="f" focussize="0,0"/>
              <v:stroke weight="1pt" color="#000000" joinstyle="round"/>
              <v:imagedata o:title=""/>
              <o:lock v:ext="edit" aspectratio="f"/>
            </v:shape>
          </w:pict>
        </mc:Fallback>
      </mc:AlternateContent>
    </w:r>
    <w:r>
      <w:rPr>
        <w:rFonts w:hint="eastAsia" w:ascii="黑体" w:eastAsia="黑体"/>
        <w:sz w:val="21"/>
        <w:szCs w:val="21"/>
      </w:rPr>
      <w:t xml:space="preserve">JJF </w:t>
    </w:r>
    <w:r>
      <w:rPr>
        <w:rFonts w:hint="eastAsia" w:ascii="黑体" w:eastAsia="黑体"/>
        <w:sz w:val="21"/>
        <w:szCs w:val="21"/>
        <w:lang w:val="en-US" w:eastAsia="zh-CN"/>
      </w:rPr>
      <w:t>xxxx</w:t>
    </w:r>
    <w:r>
      <w:rPr>
        <w:rFonts w:hint="eastAsia" w:ascii="黑体" w:eastAsia="黑体"/>
        <w:sz w:val="21"/>
        <w:szCs w:val="21"/>
      </w:rPr>
      <w:t>-202X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8"/>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7"/>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5"/>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7"/>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8"/>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4"/>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1"/>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hangingChars="200"/>
      </w:pPr>
      <w:rPr>
        <w:rFonts w:hint="default" w:ascii="Wingdings" w:hAnsi="Wingdings"/>
      </w:rPr>
    </w:lvl>
  </w:abstractNum>
  <w:abstractNum w:abstractNumId="10">
    <w:nsid w:val="36173C83"/>
    <w:multiLevelType w:val="multilevel"/>
    <w:tmpl w:val="36173C83"/>
    <w:lvl w:ilvl="0" w:tentative="0">
      <w:start w:val="1"/>
      <w:numFmt w:val="decimal"/>
      <w:pStyle w:val="3"/>
      <w:lvlText w:val="%1  "/>
      <w:lvlJc w:val="left"/>
      <w:pPr>
        <w:ind w:left="525" w:hanging="420"/>
      </w:pPr>
      <w:rPr>
        <w:rFonts w:hint="eastAsia"/>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abstractNum w:abstractNumId="11">
    <w:nsid w:val="6DBF04F4"/>
    <w:multiLevelType w:val="multilevel"/>
    <w:tmpl w:val="6DBF04F4"/>
    <w:lvl w:ilvl="0" w:tentative="0">
      <w:start w:val="1"/>
      <w:numFmt w:val="none"/>
      <w:pStyle w:val="123"/>
      <w:suff w:val="nothing"/>
      <w:lvlText w:val="%1注："/>
      <w:lvlJc w:val="left"/>
      <w:pPr>
        <w:ind w:left="930"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
  <w:drawingGridVerticalSpacing w:val="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YTBmNTQ1MGE5ODNiNzhmMjg3MmI5YmU5NTQ0OTgifQ=="/>
  </w:docVars>
  <w:rsids>
    <w:rsidRoot w:val="00E806F7"/>
    <w:rsid w:val="00000824"/>
    <w:rsid w:val="000008EB"/>
    <w:rsid w:val="00001994"/>
    <w:rsid w:val="00001D8D"/>
    <w:rsid w:val="00002C30"/>
    <w:rsid w:val="00002E2B"/>
    <w:rsid w:val="000039E1"/>
    <w:rsid w:val="00003BFA"/>
    <w:rsid w:val="00003D7B"/>
    <w:rsid w:val="00003F63"/>
    <w:rsid w:val="00005537"/>
    <w:rsid w:val="00005872"/>
    <w:rsid w:val="000063CD"/>
    <w:rsid w:val="00006C5D"/>
    <w:rsid w:val="0000726C"/>
    <w:rsid w:val="000076E9"/>
    <w:rsid w:val="00007751"/>
    <w:rsid w:val="00007E9B"/>
    <w:rsid w:val="000101FF"/>
    <w:rsid w:val="000105D7"/>
    <w:rsid w:val="00010EB7"/>
    <w:rsid w:val="000118BB"/>
    <w:rsid w:val="00011AC1"/>
    <w:rsid w:val="00012DC1"/>
    <w:rsid w:val="00013756"/>
    <w:rsid w:val="00013A59"/>
    <w:rsid w:val="00013AF0"/>
    <w:rsid w:val="00014028"/>
    <w:rsid w:val="00014724"/>
    <w:rsid w:val="00014C1E"/>
    <w:rsid w:val="00015446"/>
    <w:rsid w:val="00015FE5"/>
    <w:rsid w:val="000176A0"/>
    <w:rsid w:val="0001770E"/>
    <w:rsid w:val="0002143E"/>
    <w:rsid w:val="00022EE8"/>
    <w:rsid w:val="00022FEA"/>
    <w:rsid w:val="00023055"/>
    <w:rsid w:val="00024269"/>
    <w:rsid w:val="00024382"/>
    <w:rsid w:val="00024DFA"/>
    <w:rsid w:val="00025196"/>
    <w:rsid w:val="000251A6"/>
    <w:rsid w:val="0002544C"/>
    <w:rsid w:val="0002563E"/>
    <w:rsid w:val="0002570C"/>
    <w:rsid w:val="00025EC1"/>
    <w:rsid w:val="00026BF7"/>
    <w:rsid w:val="00026D7E"/>
    <w:rsid w:val="00027201"/>
    <w:rsid w:val="00027241"/>
    <w:rsid w:val="00027736"/>
    <w:rsid w:val="000279DE"/>
    <w:rsid w:val="00027CC9"/>
    <w:rsid w:val="0003055B"/>
    <w:rsid w:val="00030FC6"/>
    <w:rsid w:val="000314B1"/>
    <w:rsid w:val="0003170F"/>
    <w:rsid w:val="00032BAA"/>
    <w:rsid w:val="00033295"/>
    <w:rsid w:val="000333B4"/>
    <w:rsid w:val="00034A71"/>
    <w:rsid w:val="00034E78"/>
    <w:rsid w:val="00035A02"/>
    <w:rsid w:val="000363CB"/>
    <w:rsid w:val="0003644E"/>
    <w:rsid w:val="000365AC"/>
    <w:rsid w:val="00036667"/>
    <w:rsid w:val="00036CDE"/>
    <w:rsid w:val="0003738C"/>
    <w:rsid w:val="000405C0"/>
    <w:rsid w:val="000414C3"/>
    <w:rsid w:val="00041AB6"/>
    <w:rsid w:val="00041BCD"/>
    <w:rsid w:val="0004246C"/>
    <w:rsid w:val="000431F5"/>
    <w:rsid w:val="00043449"/>
    <w:rsid w:val="00043512"/>
    <w:rsid w:val="00043911"/>
    <w:rsid w:val="00043957"/>
    <w:rsid w:val="000442B5"/>
    <w:rsid w:val="0004442D"/>
    <w:rsid w:val="0004502B"/>
    <w:rsid w:val="000452A6"/>
    <w:rsid w:val="0004544F"/>
    <w:rsid w:val="00045D3B"/>
    <w:rsid w:val="00046AB8"/>
    <w:rsid w:val="00047114"/>
    <w:rsid w:val="00047814"/>
    <w:rsid w:val="00047D9B"/>
    <w:rsid w:val="00047DB0"/>
    <w:rsid w:val="00047DFC"/>
    <w:rsid w:val="0005092D"/>
    <w:rsid w:val="000509D6"/>
    <w:rsid w:val="00051067"/>
    <w:rsid w:val="000513A1"/>
    <w:rsid w:val="00052049"/>
    <w:rsid w:val="0005227B"/>
    <w:rsid w:val="0005389B"/>
    <w:rsid w:val="00054D4A"/>
    <w:rsid w:val="000561A6"/>
    <w:rsid w:val="00056802"/>
    <w:rsid w:val="00056D90"/>
    <w:rsid w:val="00056EA1"/>
    <w:rsid w:val="00057355"/>
    <w:rsid w:val="00057661"/>
    <w:rsid w:val="00057EF5"/>
    <w:rsid w:val="000604C3"/>
    <w:rsid w:val="00060671"/>
    <w:rsid w:val="00061704"/>
    <w:rsid w:val="00061836"/>
    <w:rsid w:val="000638C5"/>
    <w:rsid w:val="00063A0A"/>
    <w:rsid w:val="00063E4C"/>
    <w:rsid w:val="00064E28"/>
    <w:rsid w:val="00065F46"/>
    <w:rsid w:val="0006630E"/>
    <w:rsid w:val="0006631A"/>
    <w:rsid w:val="00066A6E"/>
    <w:rsid w:val="000672BA"/>
    <w:rsid w:val="0006765F"/>
    <w:rsid w:val="000676A0"/>
    <w:rsid w:val="00067CBF"/>
    <w:rsid w:val="000705E7"/>
    <w:rsid w:val="00072652"/>
    <w:rsid w:val="00072C8C"/>
    <w:rsid w:val="00073438"/>
    <w:rsid w:val="00073796"/>
    <w:rsid w:val="00073AEB"/>
    <w:rsid w:val="00074F44"/>
    <w:rsid w:val="00075741"/>
    <w:rsid w:val="000775C1"/>
    <w:rsid w:val="00077650"/>
    <w:rsid w:val="0008044D"/>
    <w:rsid w:val="00080592"/>
    <w:rsid w:val="000805CD"/>
    <w:rsid w:val="00081ED8"/>
    <w:rsid w:val="000821F7"/>
    <w:rsid w:val="000823B7"/>
    <w:rsid w:val="00084B79"/>
    <w:rsid w:val="00084BC8"/>
    <w:rsid w:val="00085129"/>
    <w:rsid w:val="00085769"/>
    <w:rsid w:val="00086795"/>
    <w:rsid w:val="00086EF0"/>
    <w:rsid w:val="00087EAA"/>
    <w:rsid w:val="00087FCF"/>
    <w:rsid w:val="00090102"/>
    <w:rsid w:val="0009087D"/>
    <w:rsid w:val="00090C2A"/>
    <w:rsid w:val="00090C2B"/>
    <w:rsid w:val="00090E5E"/>
    <w:rsid w:val="00091027"/>
    <w:rsid w:val="00091B38"/>
    <w:rsid w:val="00092078"/>
    <w:rsid w:val="00092108"/>
    <w:rsid w:val="0009241B"/>
    <w:rsid w:val="00092CC2"/>
    <w:rsid w:val="000937D7"/>
    <w:rsid w:val="000944D8"/>
    <w:rsid w:val="00094A01"/>
    <w:rsid w:val="00094A70"/>
    <w:rsid w:val="00096B53"/>
    <w:rsid w:val="0009722F"/>
    <w:rsid w:val="000975B9"/>
    <w:rsid w:val="00097F86"/>
    <w:rsid w:val="000A03C9"/>
    <w:rsid w:val="000A0911"/>
    <w:rsid w:val="000A096E"/>
    <w:rsid w:val="000A0EDB"/>
    <w:rsid w:val="000A0FA3"/>
    <w:rsid w:val="000A14FC"/>
    <w:rsid w:val="000A15D9"/>
    <w:rsid w:val="000A1B2A"/>
    <w:rsid w:val="000A20B7"/>
    <w:rsid w:val="000A28B4"/>
    <w:rsid w:val="000A32BA"/>
    <w:rsid w:val="000A3411"/>
    <w:rsid w:val="000A4419"/>
    <w:rsid w:val="000A45E3"/>
    <w:rsid w:val="000A4E03"/>
    <w:rsid w:val="000A501A"/>
    <w:rsid w:val="000A5244"/>
    <w:rsid w:val="000A57A1"/>
    <w:rsid w:val="000A61B6"/>
    <w:rsid w:val="000A6833"/>
    <w:rsid w:val="000A6A52"/>
    <w:rsid w:val="000A6A5B"/>
    <w:rsid w:val="000A6A70"/>
    <w:rsid w:val="000A6DA2"/>
    <w:rsid w:val="000A7229"/>
    <w:rsid w:val="000B01D4"/>
    <w:rsid w:val="000B02C5"/>
    <w:rsid w:val="000B0C31"/>
    <w:rsid w:val="000B0DBB"/>
    <w:rsid w:val="000B176C"/>
    <w:rsid w:val="000B1F3F"/>
    <w:rsid w:val="000B24D4"/>
    <w:rsid w:val="000B2935"/>
    <w:rsid w:val="000B35DC"/>
    <w:rsid w:val="000B3A0F"/>
    <w:rsid w:val="000B3F0B"/>
    <w:rsid w:val="000B43BA"/>
    <w:rsid w:val="000B4766"/>
    <w:rsid w:val="000B47B6"/>
    <w:rsid w:val="000B4D0F"/>
    <w:rsid w:val="000B513E"/>
    <w:rsid w:val="000B573C"/>
    <w:rsid w:val="000B5F44"/>
    <w:rsid w:val="000B6689"/>
    <w:rsid w:val="000B7B45"/>
    <w:rsid w:val="000B7FBF"/>
    <w:rsid w:val="000C0EC2"/>
    <w:rsid w:val="000C1C06"/>
    <w:rsid w:val="000C2095"/>
    <w:rsid w:val="000C262A"/>
    <w:rsid w:val="000C2640"/>
    <w:rsid w:val="000C34D8"/>
    <w:rsid w:val="000C3C15"/>
    <w:rsid w:val="000C3CF3"/>
    <w:rsid w:val="000C3E72"/>
    <w:rsid w:val="000C434A"/>
    <w:rsid w:val="000C4C54"/>
    <w:rsid w:val="000C535D"/>
    <w:rsid w:val="000C5C1E"/>
    <w:rsid w:val="000C619D"/>
    <w:rsid w:val="000C61FC"/>
    <w:rsid w:val="000C64DB"/>
    <w:rsid w:val="000C68D8"/>
    <w:rsid w:val="000C6DB7"/>
    <w:rsid w:val="000C71C0"/>
    <w:rsid w:val="000D0825"/>
    <w:rsid w:val="000D0A41"/>
    <w:rsid w:val="000D0D67"/>
    <w:rsid w:val="000D1242"/>
    <w:rsid w:val="000D1952"/>
    <w:rsid w:val="000D1D63"/>
    <w:rsid w:val="000D26C4"/>
    <w:rsid w:val="000D3617"/>
    <w:rsid w:val="000D375E"/>
    <w:rsid w:val="000D3D7F"/>
    <w:rsid w:val="000D3F77"/>
    <w:rsid w:val="000D41FB"/>
    <w:rsid w:val="000D5635"/>
    <w:rsid w:val="000D567C"/>
    <w:rsid w:val="000D59C3"/>
    <w:rsid w:val="000D6616"/>
    <w:rsid w:val="000D665F"/>
    <w:rsid w:val="000E011F"/>
    <w:rsid w:val="000E012D"/>
    <w:rsid w:val="000E0AEE"/>
    <w:rsid w:val="000E1161"/>
    <w:rsid w:val="000E19DD"/>
    <w:rsid w:val="000E24F4"/>
    <w:rsid w:val="000E2670"/>
    <w:rsid w:val="000E2CB2"/>
    <w:rsid w:val="000E372E"/>
    <w:rsid w:val="000E3CE0"/>
    <w:rsid w:val="000E41F0"/>
    <w:rsid w:val="000E43F7"/>
    <w:rsid w:val="000E4467"/>
    <w:rsid w:val="000E45F5"/>
    <w:rsid w:val="000E49AE"/>
    <w:rsid w:val="000E546E"/>
    <w:rsid w:val="000E5978"/>
    <w:rsid w:val="000E5D21"/>
    <w:rsid w:val="000E6FD6"/>
    <w:rsid w:val="000E73DD"/>
    <w:rsid w:val="000E7A1E"/>
    <w:rsid w:val="000E7C71"/>
    <w:rsid w:val="000E7CAA"/>
    <w:rsid w:val="000F0249"/>
    <w:rsid w:val="000F0C8D"/>
    <w:rsid w:val="000F11F6"/>
    <w:rsid w:val="000F261B"/>
    <w:rsid w:val="000F2CAE"/>
    <w:rsid w:val="000F451D"/>
    <w:rsid w:val="000F4682"/>
    <w:rsid w:val="000F4F11"/>
    <w:rsid w:val="000F4FAB"/>
    <w:rsid w:val="000F56F0"/>
    <w:rsid w:val="000F5A8B"/>
    <w:rsid w:val="000F64E7"/>
    <w:rsid w:val="000F6761"/>
    <w:rsid w:val="000F679B"/>
    <w:rsid w:val="000F6900"/>
    <w:rsid w:val="000F7338"/>
    <w:rsid w:val="000F7885"/>
    <w:rsid w:val="00100B61"/>
    <w:rsid w:val="001015D9"/>
    <w:rsid w:val="00101694"/>
    <w:rsid w:val="001024C4"/>
    <w:rsid w:val="0010276C"/>
    <w:rsid w:val="001027C6"/>
    <w:rsid w:val="001031F3"/>
    <w:rsid w:val="00103632"/>
    <w:rsid w:val="00103658"/>
    <w:rsid w:val="00103BC6"/>
    <w:rsid w:val="00103DA0"/>
    <w:rsid w:val="00103FFD"/>
    <w:rsid w:val="0010580A"/>
    <w:rsid w:val="00105A19"/>
    <w:rsid w:val="00106F0B"/>
    <w:rsid w:val="001111BC"/>
    <w:rsid w:val="00111670"/>
    <w:rsid w:val="001117E0"/>
    <w:rsid w:val="00111E72"/>
    <w:rsid w:val="0011268C"/>
    <w:rsid w:val="001127FB"/>
    <w:rsid w:val="00112A9C"/>
    <w:rsid w:val="00112EEB"/>
    <w:rsid w:val="00115106"/>
    <w:rsid w:val="00115252"/>
    <w:rsid w:val="001152C0"/>
    <w:rsid w:val="0011543D"/>
    <w:rsid w:val="00115A16"/>
    <w:rsid w:val="00115B85"/>
    <w:rsid w:val="00116137"/>
    <w:rsid w:val="0011622D"/>
    <w:rsid w:val="0011684A"/>
    <w:rsid w:val="00116D71"/>
    <w:rsid w:val="001176FE"/>
    <w:rsid w:val="00117703"/>
    <w:rsid w:val="00117980"/>
    <w:rsid w:val="00120333"/>
    <w:rsid w:val="0012101F"/>
    <w:rsid w:val="001211C0"/>
    <w:rsid w:val="001227C3"/>
    <w:rsid w:val="00123618"/>
    <w:rsid w:val="00123DDA"/>
    <w:rsid w:val="0012439E"/>
    <w:rsid w:val="0012461D"/>
    <w:rsid w:val="00125035"/>
    <w:rsid w:val="001251AB"/>
    <w:rsid w:val="00125562"/>
    <w:rsid w:val="0012565D"/>
    <w:rsid w:val="00126668"/>
    <w:rsid w:val="001267BD"/>
    <w:rsid w:val="00126AD6"/>
    <w:rsid w:val="00126CD1"/>
    <w:rsid w:val="00126E1A"/>
    <w:rsid w:val="00126E2F"/>
    <w:rsid w:val="00126F3B"/>
    <w:rsid w:val="00127066"/>
    <w:rsid w:val="001275D2"/>
    <w:rsid w:val="001278DE"/>
    <w:rsid w:val="001313BB"/>
    <w:rsid w:val="0013154F"/>
    <w:rsid w:val="00131604"/>
    <w:rsid w:val="00131C23"/>
    <w:rsid w:val="00133009"/>
    <w:rsid w:val="00133828"/>
    <w:rsid w:val="00133DBF"/>
    <w:rsid w:val="00134247"/>
    <w:rsid w:val="00134283"/>
    <w:rsid w:val="001344BE"/>
    <w:rsid w:val="001358C5"/>
    <w:rsid w:val="00136045"/>
    <w:rsid w:val="001365E6"/>
    <w:rsid w:val="00136620"/>
    <w:rsid w:val="00136BDD"/>
    <w:rsid w:val="001403ED"/>
    <w:rsid w:val="0014077E"/>
    <w:rsid w:val="00140DCE"/>
    <w:rsid w:val="00141D74"/>
    <w:rsid w:val="0014202B"/>
    <w:rsid w:val="001420DD"/>
    <w:rsid w:val="0014287D"/>
    <w:rsid w:val="0014373D"/>
    <w:rsid w:val="00144487"/>
    <w:rsid w:val="001447AF"/>
    <w:rsid w:val="0014492A"/>
    <w:rsid w:val="00144961"/>
    <w:rsid w:val="0014503B"/>
    <w:rsid w:val="00145131"/>
    <w:rsid w:val="0014527C"/>
    <w:rsid w:val="00146918"/>
    <w:rsid w:val="0014714D"/>
    <w:rsid w:val="00147483"/>
    <w:rsid w:val="001476B9"/>
    <w:rsid w:val="001478B2"/>
    <w:rsid w:val="0015008C"/>
    <w:rsid w:val="001503E5"/>
    <w:rsid w:val="001507F2"/>
    <w:rsid w:val="00150DBA"/>
    <w:rsid w:val="00151AD6"/>
    <w:rsid w:val="00151D3D"/>
    <w:rsid w:val="00151E6D"/>
    <w:rsid w:val="0015209B"/>
    <w:rsid w:val="00152665"/>
    <w:rsid w:val="001531C2"/>
    <w:rsid w:val="00153A3D"/>
    <w:rsid w:val="00154130"/>
    <w:rsid w:val="001546BA"/>
    <w:rsid w:val="00154784"/>
    <w:rsid w:val="00154934"/>
    <w:rsid w:val="001555DA"/>
    <w:rsid w:val="0015575C"/>
    <w:rsid w:val="00155F96"/>
    <w:rsid w:val="001560D0"/>
    <w:rsid w:val="001563C7"/>
    <w:rsid w:val="001570F5"/>
    <w:rsid w:val="00157118"/>
    <w:rsid w:val="00157CDF"/>
    <w:rsid w:val="001602AA"/>
    <w:rsid w:val="00160786"/>
    <w:rsid w:val="00160D6D"/>
    <w:rsid w:val="00160F3D"/>
    <w:rsid w:val="001619EF"/>
    <w:rsid w:val="00161E95"/>
    <w:rsid w:val="0016236D"/>
    <w:rsid w:val="001626CB"/>
    <w:rsid w:val="00162A5B"/>
    <w:rsid w:val="00162BC6"/>
    <w:rsid w:val="00163D08"/>
    <w:rsid w:val="00163EBA"/>
    <w:rsid w:val="00164101"/>
    <w:rsid w:val="001645C5"/>
    <w:rsid w:val="00164C13"/>
    <w:rsid w:val="001651E0"/>
    <w:rsid w:val="00165413"/>
    <w:rsid w:val="00170D7F"/>
    <w:rsid w:val="001716DC"/>
    <w:rsid w:val="001723BD"/>
    <w:rsid w:val="00172A0A"/>
    <w:rsid w:val="001736D7"/>
    <w:rsid w:val="001737E6"/>
    <w:rsid w:val="00173A46"/>
    <w:rsid w:val="00173E86"/>
    <w:rsid w:val="001745DA"/>
    <w:rsid w:val="00174B59"/>
    <w:rsid w:val="0017501B"/>
    <w:rsid w:val="0017544E"/>
    <w:rsid w:val="001757EC"/>
    <w:rsid w:val="00176C4C"/>
    <w:rsid w:val="00177104"/>
    <w:rsid w:val="00177568"/>
    <w:rsid w:val="00177EA3"/>
    <w:rsid w:val="00177ECC"/>
    <w:rsid w:val="0018050B"/>
    <w:rsid w:val="00180759"/>
    <w:rsid w:val="00180A94"/>
    <w:rsid w:val="00180BE8"/>
    <w:rsid w:val="0018199A"/>
    <w:rsid w:val="001824F8"/>
    <w:rsid w:val="001832AB"/>
    <w:rsid w:val="001834B0"/>
    <w:rsid w:val="00183643"/>
    <w:rsid w:val="00183809"/>
    <w:rsid w:val="00183D27"/>
    <w:rsid w:val="00184186"/>
    <w:rsid w:val="001841DE"/>
    <w:rsid w:val="001852C9"/>
    <w:rsid w:val="0018540E"/>
    <w:rsid w:val="00185584"/>
    <w:rsid w:val="00187192"/>
    <w:rsid w:val="001872B6"/>
    <w:rsid w:val="00187448"/>
    <w:rsid w:val="001874B5"/>
    <w:rsid w:val="00190172"/>
    <w:rsid w:val="001901B3"/>
    <w:rsid w:val="00190783"/>
    <w:rsid w:val="00190EF0"/>
    <w:rsid w:val="00191994"/>
    <w:rsid w:val="00191A08"/>
    <w:rsid w:val="00191BE7"/>
    <w:rsid w:val="00191D41"/>
    <w:rsid w:val="00192B14"/>
    <w:rsid w:val="00193550"/>
    <w:rsid w:val="00193EEB"/>
    <w:rsid w:val="001940E5"/>
    <w:rsid w:val="001945C6"/>
    <w:rsid w:val="00194693"/>
    <w:rsid w:val="00194C63"/>
    <w:rsid w:val="00195523"/>
    <w:rsid w:val="00195905"/>
    <w:rsid w:val="00195ACD"/>
    <w:rsid w:val="00195ADE"/>
    <w:rsid w:val="0019610A"/>
    <w:rsid w:val="00196224"/>
    <w:rsid w:val="001964DB"/>
    <w:rsid w:val="00196A97"/>
    <w:rsid w:val="00196EF6"/>
    <w:rsid w:val="001A063B"/>
    <w:rsid w:val="001A0C0F"/>
    <w:rsid w:val="001A0CBB"/>
    <w:rsid w:val="001A0F2D"/>
    <w:rsid w:val="001A1296"/>
    <w:rsid w:val="001A1904"/>
    <w:rsid w:val="001A195A"/>
    <w:rsid w:val="001A1A45"/>
    <w:rsid w:val="001A1F0B"/>
    <w:rsid w:val="001A21A1"/>
    <w:rsid w:val="001A32BA"/>
    <w:rsid w:val="001A3847"/>
    <w:rsid w:val="001A4351"/>
    <w:rsid w:val="001A4C7C"/>
    <w:rsid w:val="001A6066"/>
    <w:rsid w:val="001A6213"/>
    <w:rsid w:val="001A6885"/>
    <w:rsid w:val="001A703C"/>
    <w:rsid w:val="001A73D4"/>
    <w:rsid w:val="001A74F8"/>
    <w:rsid w:val="001A7771"/>
    <w:rsid w:val="001A7AEE"/>
    <w:rsid w:val="001A7FA7"/>
    <w:rsid w:val="001B024D"/>
    <w:rsid w:val="001B2DE0"/>
    <w:rsid w:val="001B4865"/>
    <w:rsid w:val="001B4E4D"/>
    <w:rsid w:val="001B5B41"/>
    <w:rsid w:val="001B5F1A"/>
    <w:rsid w:val="001B656E"/>
    <w:rsid w:val="001B6D77"/>
    <w:rsid w:val="001B7596"/>
    <w:rsid w:val="001C03D4"/>
    <w:rsid w:val="001C0526"/>
    <w:rsid w:val="001C0ADD"/>
    <w:rsid w:val="001C1DB9"/>
    <w:rsid w:val="001C2F67"/>
    <w:rsid w:val="001C3582"/>
    <w:rsid w:val="001C440B"/>
    <w:rsid w:val="001C4B86"/>
    <w:rsid w:val="001C51F7"/>
    <w:rsid w:val="001C5501"/>
    <w:rsid w:val="001C55BE"/>
    <w:rsid w:val="001C59E1"/>
    <w:rsid w:val="001C6B2D"/>
    <w:rsid w:val="001C73A9"/>
    <w:rsid w:val="001C7865"/>
    <w:rsid w:val="001C78AB"/>
    <w:rsid w:val="001C7A75"/>
    <w:rsid w:val="001C7B6D"/>
    <w:rsid w:val="001D0396"/>
    <w:rsid w:val="001D0E89"/>
    <w:rsid w:val="001D183C"/>
    <w:rsid w:val="001D2430"/>
    <w:rsid w:val="001D2442"/>
    <w:rsid w:val="001D252C"/>
    <w:rsid w:val="001D2EE4"/>
    <w:rsid w:val="001D3403"/>
    <w:rsid w:val="001D35E6"/>
    <w:rsid w:val="001D37FF"/>
    <w:rsid w:val="001D3D3A"/>
    <w:rsid w:val="001D41CE"/>
    <w:rsid w:val="001D4485"/>
    <w:rsid w:val="001D4D0D"/>
    <w:rsid w:val="001D4FE2"/>
    <w:rsid w:val="001D5F68"/>
    <w:rsid w:val="001D6F46"/>
    <w:rsid w:val="001D716C"/>
    <w:rsid w:val="001D7C3D"/>
    <w:rsid w:val="001D7ECD"/>
    <w:rsid w:val="001E0264"/>
    <w:rsid w:val="001E06CE"/>
    <w:rsid w:val="001E092E"/>
    <w:rsid w:val="001E0A11"/>
    <w:rsid w:val="001E0C49"/>
    <w:rsid w:val="001E12CF"/>
    <w:rsid w:val="001E13C6"/>
    <w:rsid w:val="001E18EE"/>
    <w:rsid w:val="001E21E9"/>
    <w:rsid w:val="001E2CC6"/>
    <w:rsid w:val="001E3A68"/>
    <w:rsid w:val="001E3BA7"/>
    <w:rsid w:val="001E5D82"/>
    <w:rsid w:val="001E5EBE"/>
    <w:rsid w:val="001E6114"/>
    <w:rsid w:val="001E77D3"/>
    <w:rsid w:val="001E7B4C"/>
    <w:rsid w:val="001E7E3F"/>
    <w:rsid w:val="001F02B8"/>
    <w:rsid w:val="001F0D94"/>
    <w:rsid w:val="001F15F5"/>
    <w:rsid w:val="001F1D65"/>
    <w:rsid w:val="001F1FFC"/>
    <w:rsid w:val="001F2225"/>
    <w:rsid w:val="001F2483"/>
    <w:rsid w:val="001F3398"/>
    <w:rsid w:val="001F3450"/>
    <w:rsid w:val="001F3F63"/>
    <w:rsid w:val="001F4149"/>
    <w:rsid w:val="001F4EBF"/>
    <w:rsid w:val="001F5856"/>
    <w:rsid w:val="001F61B8"/>
    <w:rsid w:val="001F79BC"/>
    <w:rsid w:val="001F7E41"/>
    <w:rsid w:val="00200127"/>
    <w:rsid w:val="00200166"/>
    <w:rsid w:val="00201834"/>
    <w:rsid w:val="00201B8B"/>
    <w:rsid w:val="00203130"/>
    <w:rsid w:val="00203945"/>
    <w:rsid w:val="00204A13"/>
    <w:rsid w:val="00204CA2"/>
    <w:rsid w:val="002055FD"/>
    <w:rsid w:val="0020696B"/>
    <w:rsid w:val="00206D64"/>
    <w:rsid w:val="00207499"/>
    <w:rsid w:val="002077AB"/>
    <w:rsid w:val="00207C48"/>
    <w:rsid w:val="00207D6F"/>
    <w:rsid w:val="002108CC"/>
    <w:rsid w:val="00211110"/>
    <w:rsid w:val="002111ED"/>
    <w:rsid w:val="002113BB"/>
    <w:rsid w:val="00212104"/>
    <w:rsid w:val="002124C1"/>
    <w:rsid w:val="002129EF"/>
    <w:rsid w:val="0021334D"/>
    <w:rsid w:val="00213D95"/>
    <w:rsid w:val="0021405A"/>
    <w:rsid w:val="002144CE"/>
    <w:rsid w:val="002149AC"/>
    <w:rsid w:val="002149E5"/>
    <w:rsid w:val="00214A2D"/>
    <w:rsid w:val="002156C4"/>
    <w:rsid w:val="00216263"/>
    <w:rsid w:val="00216631"/>
    <w:rsid w:val="002170B1"/>
    <w:rsid w:val="00217A52"/>
    <w:rsid w:val="0022083A"/>
    <w:rsid w:val="0022146B"/>
    <w:rsid w:val="00221590"/>
    <w:rsid w:val="00221C2B"/>
    <w:rsid w:val="00221F77"/>
    <w:rsid w:val="00222052"/>
    <w:rsid w:val="002223B7"/>
    <w:rsid w:val="00223E3B"/>
    <w:rsid w:val="0022477B"/>
    <w:rsid w:val="00224ACC"/>
    <w:rsid w:val="00224EB8"/>
    <w:rsid w:val="002250D7"/>
    <w:rsid w:val="002254FC"/>
    <w:rsid w:val="0022657D"/>
    <w:rsid w:val="002269F1"/>
    <w:rsid w:val="00226C4D"/>
    <w:rsid w:val="002274E2"/>
    <w:rsid w:val="00227D8C"/>
    <w:rsid w:val="002304F8"/>
    <w:rsid w:val="0023052B"/>
    <w:rsid w:val="00230ABB"/>
    <w:rsid w:val="00233223"/>
    <w:rsid w:val="00233286"/>
    <w:rsid w:val="002332D5"/>
    <w:rsid w:val="002342DA"/>
    <w:rsid w:val="002348CF"/>
    <w:rsid w:val="00234C43"/>
    <w:rsid w:val="00235130"/>
    <w:rsid w:val="002351A7"/>
    <w:rsid w:val="00236662"/>
    <w:rsid w:val="00236DB1"/>
    <w:rsid w:val="00237F47"/>
    <w:rsid w:val="00240F5E"/>
    <w:rsid w:val="00240FCE"/>
    <w:rsid w:val="00241C08"/>
    <w:rsid w:val="00242B4E"/>
    <w:rsid w:val="0024345A"/>
    <w:rsid w:val="00244425"/>
    <w:rsid w:val="00244A97"/>
    <w:rsid w:val="0024589D"/>
    <w:rsid w:val="00245B4F"/>
    <w:rsid w:val="00245BD3"/>
    <w:rsid w:val="00245CF5"/>
    <w:rsid w:val="00245FB6"/>
    <w:rsid w:val="00246771"/>
    <w:rsid w:val="002468E8"/>
    <w:rsid w:val="00246BC8"/>
    <w:rsid w:val="002470B5"/>
    <w:rsid w:val="0024714E"/>
    <w:rsid w:val="00247B6F"/>
    <w:rsid w:val="0025052F"/>
    <w:rsid w:val="00250A52"/>
    <w:rsid w:val="0025127A"/>
    <w:rsid w:val="00251BD7"/>
    <w:rsid w:val="00251EE1"/>
    <w:rsid w:val="0025242C"/>
    <w:rsid w:val="00253E02"/>
    <w:rsid w:val="00253ECD"/>
    <w:rsid w:val="00253F3E"/>
    <w:rsid w:val="002544D1"/>
    <w:rsid w:val="00254802"/>
    <w:rsid w:val="002549A1"/>
    <w:rsid w:val="00254ABF"/>
    <w:rsid w:val="00254CBB"/>
    <w:rsid w:val="002550E6"/>
    <w:rsid w:val="0025529B"/>
    <w:rsid w:val="002552EE"/>
    <w:rsid w:val="0025551C"/>
    <w:rsid w:val="00255E53"/>
    <w:rsid w:val="00256145"/>
    <w:rsid w:val="002567FA"/>
    <w:rsid w:val="00256C36"/>
    <w:rsid w:val="00257C30"/>
    <w:rsid w:val="00260B07"/>
    <w:rsid w:val="00260CC1"/>
    <w:rsid w:val="00260FC9"/>
    <w:rsid w:val="0026149B"/>
    <w:rsid w:val="002619D5"/>
    <w:rsid w:val="002619F6"/>
    <w:rsid w:val="00261C12"/>
    <w:rsid w:val="00262716"/>
    <w:rsid w:val="002628CE"/>
    <w:rsid w:val="00262CDC"/>
    <w:rsid w:val="00263028"/>
    <w:rsid w:val="002631B8"/>
    <w:rsid w:val="00263889"/>
    <w:rsid w:val="00264BDA"/>
    <w:rsid w:val="00264E11"/>
    <w:rsid w:val="002652A3"/>
    <w:rsid w:val="002661C3"/>
    <w:rsid w:val="00266691"/>
    <w:rsid w:val="00266E42"/>
    <w:rsid w:val="0026737E"/>
    <w:rsid w:val="00270686"/>
    <w:rsid w:val="0027091E"/>
    <w:rsid w:val="002716CF"/>
    <w:rsid w:val="00271C13"/>
    <w:rsid w:val="00272DE5"/>
    <w:rsid w:val="002738B2"/>
    <w:rsid w:val="00273909"/>
    <w:rsid w:val="00273AEB"/>
    <w:rsid w:val="00273B5D"/>
    <w:rsid w:val="0027445D"/>
    <w:rsid w:val="00275208"/>
    <w:rsid w:val="00275899"/>
    <w:rsid w:val="002759E0"/>
    <w:rsid w:val="00276417"/>
    <w:rsid w:val="002768AE"/>
    <w:rsid w:val="00277A05"/>
    <w:rsid w:val="00280074"/>
    <w:rsid w:val="00280C42"/>
    <w:rsid w:val="00281127"/>
    <w:rsid w:val="002815E1"/>
    <w:rsid w:val="002819A5"/>
    <w:rsid w:val="00282586"/>
    <w:rsid w:val="0028337A"/>
    <w:rsid w:val="002833E2"/>
    <w:rsid w:val="00283A1A"/>
    <w:rsid w:val="00283A6E"/>
    <w:rsid w:val="00284959"/>
    <w:rsid w:val="002849CA"/>
    <w:rsid w:val="0028576B"/>
    <w:rsid w:val="0028623B"/>
    <w:rsid w:val="002862FB"/>
    <w:rsid w:val="002867E1"/>
    <w:rsid w:val="00286CA2"/>
    <w:rsid w:val="0028771D"/>
    <w:rsid w:val="00287A12"/>
    <w:rsid w:val="00287F1C"/>
    <w:rsid w:val="0029009B"/>
    <w:rsid w:val="00290734"/>
    <w:rsid w:val="002911E3"/>
    <w:rsid w:val="002915B2"/>
    <w:rsid w:val="002918D5"/>
    <w:rsid w:val="002919C6"/>
    <w:rsid w:val="00291B95"/>
    <w:rsid w:val="00292113"/>
    <w:rsid w:val="002924E7"/>
    <w:rsid w:val="00292648"/>
    <w:rsid w:val="00293381"/>
    <w:rsid w:val="00293610"/>
    <w:rsid w:val="00293C49"/>
    <w:rsid w:val="002941EF"/>
    <w:rsid w:val="00294237"/>
    <w:rsid w:val="002943BA"/>
    <w:rsid w:val="00296617"/>
    <w:rsid w:val="00296FF8"/>
    <w:rsid w:val="0029728F"/>
    <w:rsid w:val="002976C0"/>
    <w:rsid w:val="002A0DFF"/>
    <w:rsid w:val="002A1237"/>
    <w:rsid w:val="002A3265"/>
    <w:rsid w:val="002A3742"/>
    <w:rsid w:val="002A3B0D"/>
    <w:rsid w:val="002A4A64"/>
    <w:rsid w:val="002A4E2C"/>
    <w:rsid w:val="002A4ED8"/>
    <w:rsid w:val="002A5DCF"/>
    <w:rsid w:val="002A5E5F"/>
    <w:rsid w:val="002A6098"/>
    <w:rsid w:val="002A6CD8"/>
    <w:rsid w:val="002A76BC"/>
    <w:rsid w:val="002A7AF2"/>
    <w:rsid w:val="002B0CEA"/>
    <w:rsid w:val="002B0D7D"/>
    <w:rsid w:val="002B1BC0"/>
    <w:rsid w:val="002B1D37"/>
    <w:rsid w:val="002B25F0"/>
    <w:rsid w:val="002B32B4"/>
    <w:rsid w:val="002B33A5"/>
    <w:rsid w:val="002B3C08"/>
    <w:rsid w:val="002B40D7"/>
    <w:rsid w:val="002B46EA"/>
    <w:rsid w:val="002B4BF5"/>
    <w:rsid w:val="002B4D09"/>
    <w:rsid w:val="002B5374"/>
    <w:rsid w:val="002B5785"/>
    <w:rsid w:val="002B5EC3"/>
    <w:rsid w:val="002B6535"/>
    <w:rsid w:val="002B6630"/>
    <w:rsid w:val="002B68B5"/>
    <w:rsid w:val="002B6D50"/>
    <w:rsid w:val="002B6E5D"/>
    <w:rsid w:val="002B760C"/>
    <w:rsid w:val="002B7AFB"/>
    <w:rsid w:val="002B7E17"/>
    <w:rsid w:val="002C01A6"/>
    <w:rsid w:val="002C0793"/>
    <w:rsid w:val="002C0BC9"/>
    <w:rsid w:val="002C0CA9"/>
    <w:rsid w:val="002C0FBA"/>
    <w:rsid w:val="002C11A9"/>
    <w:rsid w:val="002C1A3C"/>
    <w:rsid w:val="002C1D9A"/>
    <w:rsid w:val="002C1E7E"/>
    <w:rsid w:val="002C1F34"/>
    <w:rsid w:val="002C22AA"/>
    <w:rsid w:val="002C2CF8"/>
    <w:rsid w:val="002C31BA"/>
    <w:rsid w:val="002C35FA"/>
    <w:rsid w:val="002C3BB3"/>
    <w:rsid w:val="002C3EC8"/>
    <w:rsid w:val="002C4021"/>
    <w:rsid w:val="002C496B"/>
    <w:rsid w:val="002C4C4C"/>
    <w:rsid w:val="002C4EB6"/>
    <w:rsid w:val="002C50C5"/>
    <w:rsid w:val="002C6749"/>
    <w:rsid w:val="002C6E25"/>
    <w:rsid w:val="002C7104"/>
    <w:rsid w:val="002C756B"/>
    <w:rsid w:val="002C7D59"/>
    <w:rsid w:val="002D06D0"/>
    <w:rsid w:val="002D0934"/>
    <w:rsid w:val="002D0EC0"/>
    <w:rsid w:val="002D1070"/>
    <w:rsid w:val="002D1380"/>
    <w:rsid w:val="002D1B9E"/>
    <w:rsid w:val="002D20D0"/>
    <w:rsid w:val="002D2A82"/>
    <w:rsid w:val="002D3382"/>
    <w:rsid w:val="002D33CF"/>
    <w:rsid w:val="002D3524"/>
    <w:rsid w:val="002D3DD0"/>
    <w:rsid w:val="002D4291"/>
    <w:rsid w:val="002D4362"/>
    <w:rsid w:val="002D455A"/>
    <w:rsid w:val="002D479A"/>
    <w:rsid w:val="002D4821"/>
    <w:rsid w:val="002D5135"/>
    <w:rsid w:val="002D5C97"/>
    <w:rsid w:val="002D60B5"/>
    <w:rsid w:val="002D62DA"/>
    <w:rsid w:val="002D6A42"/>
    <w:rsid w:val="002D6AB1"/>
    <w:rsid w:val="002E010D"/>
    <w:rsid w:val="002E0650"/>
    <w:rsid w:val="002E06C2"/>
    <w:rsid w:val="002E1387"/>
    <w:rsid w:val="002E23BB"/>
    <w:rsid w:val="002E27A1"/>
    <w:rsid w:val="002E2941"/>
    <w:rsid w:val="002E298A"/>
    <w:rsid w:val="002E2EE7"/>
    <w:rsid w:val="002E307D"/>
    <w:rsid w:val="002E3474"/>
    <w:rsid w:val="002E3513"/>
    <w:rsid w:val="002E3F0A"/>
    <w:rsid w:val="002E427E"/>
    <w:rsid w:val="002E44F2"/>
    <w:rsid w:val="002E4769"/>
    <w:rsid w:val="002E6365"/>
    <w:rsid w:val="002E672A"/>
    <w:rsid w:val="002E6E62"/>
    <w:rsid w:val="002E717F"/>
    <w:rsid w:val="002E724D"/>
    <w:rsid w:val="002E7523"/>
    <w:rsid w:val="002E75C0"/>
    <w:rsid w:val="002E7645"/>
    <w:rsid w:val="002F0568"/>
    <w:rsid w:val="002F0E92"/>
    <w:rsid w:val="002F14F6"/>
    <w:rsid w:val="002F2D7F"/>
    <w:rsid w:val="002F4014"/>
    <w:rsid w:val="002F407C"/>
    <w:rsid w:val="002F41CE"/>
    <w:rsid w:val="002F448A"/>
    <w:rsid w:val="002F4C23"/>
    <w:rsid w:val="002F4EC7"/>
    <w:rsid w:val="002F55B9"/>
    <w:rsid w:val="002F57A4"/>
    <w:rsid w:val="002F5BC3"/>
    <w:rsid w:val="002F6740"/>
    <w:rsid w:val="002F722B"/>
    <w:rsid w:val="002F72B6"/>
    <w:rsid w:val="002F7A5A"/>
    <w:rsid w:val="002F7FF3"/>
    <w:rsid w:val="0030096D"/>
    <w:rsid w:val="00300E39"/>
    <w:rsid w:val="003010BF"/>
    <w:rsid w:val="003016C6"/>
    <w:rsid w:val="0030455C"/>
    <w:rsid w:val="00305024"/>
    <w:rsid w:val="0030609B"/>
    <w:rsid w:val="00306313"/>
    <w:rsid w:val="003066B9"/>
    <w:rsid w:val="00306DF3"/>
    <w:rsid w:val="00306FDF"/>
    <w:rsid w:val="00307858"/>
    <w:rsid w:val="00307F0D"/>
    <w:rsid w:val="0031032C"/>
    <w:rsid w:val="00310603"/>
    <w:rsid w:val="00310785"/>
    <w:rsid w:val="003118BA"/>
    <w:rsid w:val="00311E34"/>
    <w:rsid w:val="00312F33"/>
    <w:rsid w:val="00312F70"/>
    <w:rsid w:val="00313339"/>
    <w:rsid w:val="0031399F"/>
    <w:rsid w:val="00314828"/>
    <w:rsid w:val="00315022"/>
    <w:rsid w:val="00315C49"/>
    <w:rsid w:val="00315C54"/>
    <w:rsid w:val="00316D9C"/>
    <w:rsid w:val="003172FE"/>
    <w:rsid w:val="00317654"/>
    <w:rsid w:val="0031796B"/>
    <w:rsid w:val="003204F1"/>
    <w:rsid w:val="00320766"/>
    <w:rsid w:val="0032091D"/>
    <w:rsid w:val="00321EA7"/>
    <w:rsid w:val="00322E90"/>
    <w:rsid w:val="00322EE2"/>
    <w:rsid w:val="00323311"/>
    <w:rsid w:val="0032333A"/>
    <w:rsid w:val="00323441"/>
    <w:rsid w:val="00323645"/>
    <w:rsid w:val="0032386F"/>
    <w:rsid w:val="00323B57"/>
    <w:rsid w:val="00323BF9"/>
    <w:rsid w:val="00324227"/>
    <w:rsid w:val="003246F6"/>
    <w:rsid w:val="00325526"/>
    <w:rsid w:val="003259E4"/>
    <w:rsid w:val="003259F1"/>
    <w:rsid w:val="00326CF0"/>
    <w:rsid w:val="003274B6"/>
    <w:rsid w:val="00327717"/>
    <w:rsid w:val="00327E08"/>
    <w:rsid w:val="00330FD8"/>
    <w:rsid w:val="00331A07"/>
    <w:rsid w:val="00332C91"/>
    <w:rsid w:val="00332EE0"/>
    <w:rsid w:val="00333259"/>
    <w:rsid w:val="003352DA"/>
    <w:rsid w:val="00335324"/>
    <w:rsid w:val="00335C45"/>
    <w:rsid w:val="00335D26"/>
    <w:rsid w:val="00335F05"/>
    <w:rsid w:val="00336435"/>
    <w:rsid w:val="00336478"/>
    <w:rsid w:val="0033671D"/>
    <w:rsid w:val="003374CB"/>
    <w:rsid w:val="00337B6B"/>
    <w:rsid w:val="00337CBE"/>
    <w:rsid w:val="003407D2"/>
    <w:rsid w:val="00340E41"/>
    <w:rsid w:val="00340E5F"/>
    <w:rsid w:val="00341DF6"/>
    <w:rsid w:val="003421AD"/>
    <w:rsid w:val="00342622"/>
    <w:rsid w:val="00342626"/>
    <w:rsid w:val="00343E06"/>
    <w:rsid w:val="003442D9"/>
    <w:rsid w:val="0034433A"/>
    <w:rsid w:val="003443F1"/>
    <w:rsid w:val="003444CE"/>
    <w:rsid w:val="003447E6"/>
    <w:rsid w:val="00344AE3"/>
    <w:rsid w:val="00344FE3"/>
    <w:rsid w:val="00345CFB"/>
    <w:rsid w:val="00345EA7"/>
    <w:rsid w:val="0034613A"/>
    <w:rsid w:val="00346F99"/>
    <w:rsid w:val="00347428"/>
    <w:rsid w:val="003474C2"/>
    <w:rsid w:val="00347CA1"/>
    <w:rsid w:val="00350BAA"/>
    <w:rsid w:val="00350C2E"/>
    <w:rsid w:val="0035109E"/>
    <w:rsid w:val="0035194E"/>
    <w:rsid w:val="00352BA1"/>
    <w:rsid w:val="003536C7"/>
    <w:rsid w:val="00353729"/>
    <w:rsid w:val="003537FF"/>
    <w:rsid w:val="00353D52"/>
    <w:rsid w:val="00353F27"/>
    <w:rsid w:val="00353FD3"/>
    <w:rsid w:val="003542D2"/>
    <w:rsid w:val="0035464E"/>
    <w:rsid w:val="0035488F"/>
    <w:rsid w:val="003558AA"/>
    <w:rsid w:val="00355C18"/>
    <w:rsid w:val="00356B26"/>
    <w:rsid w:val="003571D8"/>
    <w:rsid w:val="003606D6"/>
    <w:rsid w:val="00360C4B"/>
    <w:rsid w:val="00361BCA"/>
    <w:rsid w:val="00361E44"/>
    <w:rsid w:val="00362895"/>
    <w:rsid w:val="00362967"/>
    <w:rsid w:val="00362A71"/>
    <w:rsid w:val="00362C30"/>
    <w:rsid w:val="00362FD2"/>
    <w:rsid w:val="00363237"/>
    <w:rsid w:val="003643DB"/>
    <w:rsid w:val="00364843"/>
    <w:rsid w:val="00364992"/>
    <w:rsid w:val="00364CAC"/>
    <w:rsid w:val="00364DE7"/>
    <w:rsid w:val="0036510E"/>
    <w:rsid w:val="00365261"/>
    <w:rsid w:val="0036577E"/>
    <w:rsid w:val="00365CED"/>
    <w:rsid w:val="003661F4"/>
    <w:rsid w:val="00366DEB"/>
    <w:rsid w:val="00366FB3"/>
    <w:rsid w:val="00366FF5"/>
    <w:rsid w:val="0036768F"/>
    <w:rsid w:val="003707A8"/>
    <w:rsid w:val="00371E23"/>
    <w:rsid w:val="00372BCD"/>
    <w:rsid w:val="0037333C"/>
    <w:rsid w:val="003733EF"/>
    <w:rsid w:val="00373B36"/>
    <w:rsid w:val="00373C64"/>
    <w:rsid w:val="003745F0"/>
    <w:rsid w:val="003747E0"/>
    <w:rsid w:val="0037495E"/>
    <w:rsid w:val="00374DB9"/>
    <w:rsid w:val="00374E24"/>
    <w:rsid w:val="003751BE"/>
    <w:rsid w:val="0037529C"/>
    <w:rsid w:val="003753F6"/>
    <w:rsid w:val="00375B94"/>
    <w:rsid w:val="0037627C"/>
    <w:rsid w:val="00376725"/>
    <w:rsid w:val="00377261"/>
    <w:rsid w:val="003774E6"/>
    <w:rsid w:val="003777DA"/>
    <w:rsid w:val="00377CE7"/>
    <w:rsid w:val="0038070A"/>
    <w:rsid w:val="00380D22"/>
    <w:rsid w:val="00380F27"/>
    <w:rsid w:val="00381458"/>
    <w:rsid w:val="00381974"/>
    <w:rsid w:val="003824DF"/>
    <w:rsid w:val="0038251E"/>
    <w:rsid w:val="00382C5F"/>
    <w:rsid w:val="00382CC5"/>
    <w:rsid w:val="00382FB2"/>
    <w:rsid w:val="003832B4"/>
    <w:rsid w:val="00383962"/>
    <w:rsid w:val="00383C48"/>
    <w:rsid w:val="00383ECB"/>
    <w:rsid w:val="00384154"/>
    <w:rsid w:val="0038485D"/>
    <w:rsid w:val="003853C3"/>
    <w:rsid w:val="003859D3"/>
    <w:rsid w:val="00385C33"/>
    <w:rsid w:val="0038646D"/>
    <w:rsid w:val="00386860"/>
    <w:rsid w:val="00387476"/>
    <w:rsid w:val="00387641"/>
    <w:rsid w:val="0039002A"/>
    <w:rsid w:val="003905BC"/>
    <w:rsid w:val="00390DFB"/>
    <w:rsid w:val="00390F4B"/>
    <w:rsid w:val="003912E2"/>
    <w:rsid w:val="003913A7"/>
    <w:rsid w:val="003913B2"/>
    <w:rsid w:val="00391BBE"/>
    <w:rsid w:val="00391DFD"/>
    <w:rsid w:val="0039281F"/>
    <w:rsid w:val="0039298E"/>
    <w:rsid w:val="00392BAC"/>
    <w:rsid w:val="00392E61"/>
    <w:rsid w:val="00393254"/>
    <w:rsid w:val="00393542"/>
    <w:rsid w:val="003937DF"/>
    <w:rsid w:val="00394CE6"/>
    <w:rsid w:val="00394EFC"/>
    <w:rsid w:val="0039502C"/>
    <w:rsid w:val="00395250"/>
    <w:rsid w:val="00395437"/>
    <w:rsid w:val="00395DC5"/>
    <w:rsid w:val="00396366"/>
    <w:rsid w:val="00396822"/>
    <w:rsid w:val="00396DC3"/>
    <w:rsid w:val="00396F1C"/>
    <w:rsid w:val="00396FCE"/>
    <w:rsid w:val="003A0DD5"/>
    <w:rsid w:val="003A1689"/>
    <w:rsid w:val="003A1734"/>
    <w:rsid w:val="003A1FD5"/>
    <w:rsid w:val="003A20B1"/>
    <w:rsid w:val="003A2207"/>
    <w:rsid w:val="003A2EC4"/>
    <w:rsid w:val="003A3706"/>
    <w:rsid w:val="003A39AD"/>
    <w:rsid w:val="003A3FF3"/>
    <w:rsid w:val="003A4409"/>
    <w:rsid w:val="003A44F8"/>
    <w:rsid w:val="003A4519"/>
    <w:rsid w:val="003A5013"/>
    <w:rsid w:val="003A52C1"/>
    <w:rsid w:val="003A5B0A"/>
    <w:rsid w:val="003A5CE1"/>
    <w:rsid w:val="003A6775"/>
    <w:rsid w:val="003A720F"/>
    <w:rsid w:val="003B0DEF"/>
    <w:rsid w:val="003B1B61"/>
    <w:rsid w:val="003B1FEF"/>
    <w:rsid w:val="003B2201"/>
    <w:rsid w:val="003B398D"/>
    <w:rsid w:val="003B57EB"/>
    <w:rsid w:val="003B5DBB"/>
    <w:rsid w:val="003B60FA"/>
    <w:rsid w:val="003B61D7"/>
    <w:rsid w:val="003B633C"/>
    <w:rsid w:val="003B640B"/>
    <w:rsid w:val="003B67C3"/>
    <w:rsid w:val="003B6BE1"/>
    <w:rsid w:val="003B704C"/>
    <w:rsid w:val="003C00C9"/>
    <w:rsid w:val="003C01DD"/>
    <w:rsid w:val="003C02CC"/>
    <w:rsid w:val="003C08EB"/>
    <w:rsid w:val="003C1C9D"/>
    <w:rsid w:val="003C25E4"/>
    <w:rsid w:val="003C2749"/>
    <w:rsid w:val="003C2940"/>
    <w:rsid w:val="003C2ECC"/>
    <w:rsid w:val="003C2F63"/>
    <w:rsid w:val="003C3C65"/>
    <w:rsid w:val="003C3C7E"/>
    <w:rsid w:val="003C49A7"/>
    <w:rsid w:val="003C4B07"/>
    <w:rsid w:val="003C5256"/>
    <w:rsid w:val="003C55A0"/>
    <w:rsid w:val="003C5919"/>
    <w:rsid w:val="003C6BC2"/>
    <w:rsid w:val="003C6E82"/>
    <w:rsid w:val="003C72FE"/>
    <w:rsid w:val="003C7825"/>
    <w:rsid w:val="003C7B97"/>
    <w:rsid w:val="003D01D3"/>
    <w:rsid w:val="003D0746"/>
    <w:rsid w:val="003D0B97"/>
    <w:rsid w:val="003D0BE2"/>
    <w:rsid w:val="003D187D"/>
    <w:rsid w:val="003D2052"/>
    <w:rsid w:val="003D22E0"/>
    <w:rsid w:val="003D28E5"/>
    <w:rsid w:val="003D4D43"/>
    <w:rsid w:val="003D5199"/>
    <w:rsid w:val="003D5747"/>
    <w:rsid w:val="003D58A1"/>
    <w:rsid w:val="003D7157"/>
    <w:rsid w:val="003E1AA6"/>
    <w:rsid w:val="003E1BA0"/>
    <w:rsid w:val="003E268C"/>
    <w:rsid w:val="003E286B"/>
    <w:rsid w:val="003E28F1"/>
    <w:rsid w:val="003E321A"/>
    <w:rsid w:val="003E3534"/>
    <w:rsid w:val="003E3564"/>
    <w:rsid w:val="003E3642"/>
    <w:rsid w:val="003E3722"/>
    <w:rsid w:val="003E3FEF"/>
    <w:rsid w:val="003E4255"/>
    <w:rsid w:val="003E42A5"/>
    <w:rsid w:val="003E55C9"/>
    <w:rsid w:val="003E69B8"/>
    <w:rsid w:val="003E6F9D"/>
    <w:rsid w:val="003F0A1A"/>
    <w:rsid w:val="003F161F"/>
    <w:rsid w:val="003F1CA3"/>
    <w:rsid w:val="003F1CFA"/>
    <w:rsid w:val="003F2126"/>
    <w:rsid w:val="003F22AB"/>
    <w:rsid w:val="003F2755"/>
    <w:rsid w:val="003F2792"/>
    <w:rsid w:val="003F2B22"/>
    <w:rsid w:val="003F35B2"/>
    <w:rsid w:val="003F3737"/>
    <w:rsid w:val="003F3BB7"/>
    <w:rsid w:val="003F44F4"/>
    <w:rsid w:val="003F4A65"/>
    <w:rsid w:val="003F4EEA"/>
    <w:rsid w:val="003F532B"/>
    <w:rsid w:val="003F6171"/>
    <w:rsid w:val="003F62C6"/>
    <w:rsid w:val="003F6ED4"/>
    <w:rsid w:val="003F6F38"/>
    <w:rsid w:val="003F77CC"/>
    <w:rsid w:val="003F79F7"/>
    <w:rsid w:val="003F7D64"/>
    <w:rsid w:val="00400361"/>
    <w:rsid w:val="00400811"/>
    <w:rsid w:val="00400ABA"/>
    <w:rsid w:val="0040136F"/>
    <w:rsid w:val="00401431"/>
    <w:rsid w:val="00402512"/>
    <w:rsid w:val="00402EDB"/>
    <w:rsid w:val="004031D6"/>
    <w:rsid w:val="00404A74"/>
    <w:rsid w:val="004050C8"/>
    <w:rsid w:val="0040516A"/>
    <w:rsid w:val="004059E4"/>
    <w:rsid w:val="00405F17"/>
    <w:rsid w:val="00406046"/>
    <w:rsid w:val="0040728C"/>
    <w:rsid w:val="004072E8"/>
    <w:rsid w:val="0040751B"/>
    <w:rsid w:val="00407938"/>
    <w:rsid w:val="00407AF3"/>
    <w:rsid w:val="00407B34"/>
    <w:rsid w:val="00407EFF"/>
    <w:rsid w:val="00410644"/>
    <w:rsid w:val="00412F6A"/>
    <w:rsid w:val="00413D48"/>
    <w:rsid w:val="0041476E"/>
    <w:rsid w:val="004147B9"/>
    <w:rsid w:val="00415E28"/>
    <w:rsid w:val="00416213"/>
    <w:rsid w:val="00417909"/>
    <w:rsid w:val="00417CC2"/>
    <w:rsid w:val="00420052"/>
    <w:rsid w:val="004215FE"/>
    <w:rsid w:val="0042181B"/>
    <w:rsid w:val="00422730"/>
    <w:rsid w:val="0042327A"/>
    <w:rsid w:val="004232AB"/>
    <w:rsid w:val="004237F1"/>
    <w:rsid w:val="0042383B"/>
    <w:rsid w:val="00423C33"/>
    <w:rsid w:val="00423D52"/>
    <w:rsid w:val="00424940"/>
    <w:rsid w:val="00424EE4"/>
    <w:rsid w:val="004251D1"/>
    <w:rsid w:val="0042525E"/>
    <w:rsid w:val="00425381"/>
    <w:rsid w:val="0042569F"/>
    <w:rsid w:val="00425A75"/>
    <w:rsid w:val="00425B80"/>
    <w:rsid w:val="00425C66"/>
    <w:rsid w:val="00426010"/>
    <w:rsid w:val="0042756E"/>
    <w:rsid w:val="00427B82"/>
    <w:rsid w:val="00430E4C"/>
    <w:rsid w:val="0043214B"/>
    <w:rsid w:val="0043287F"/>
    <w:rsid w:val="004331A7"/>
    <w:rsid w:val="00433784"/>
    <w:rsid w:val="00434011"/>
    <w:rsid w:val="0043410E"/>
    <w:rsid w:val="004345F2"/>
    <w:rsid w:val="004349DF"/>
    <w:rsid w:val="00434A2A"/>
    <w:rsid w:val="00435206"/>
    <w:rsid w:val="00436191"/>
    <w:rsid w:val="00436470"/>
    <w:rsid w:val="0043675B"/>
    <w:rsid w:val="00436BDC"/>
    <w:rsid w:val="004370C7"/>
    <w:rsid w:val="00437616"/>
    <w:rsid w:val="004376B9"/>
    <w:rsid w:val="00437B04"/>
    <w:rsid w:val="00437C7F"/>
    <w:rsid w:val="0044151F"/>
    <w:rsid w:val="004416C3"/>
    <w:rsid w:val="00441835"/>
    <w:rsid w:val="0044189C"/>
    <w:rsid w:val="00441DB7"/>
    <w:rsid w:val="0044258E"/>
    <w:rsid w:val="00442612"/>
    <w:rsid w:val="00442E82"/>
    <w:rsid w:val="00442FF3"/>
    <w:rsid w:val="00443341"/>
    <w:rsid w:val="0044505A"/>
    <w:rsid w:val="00445246"/>
    <w:rsid w:val="004453A3"/>
    <w:rsid w:val="004453D5"/>
    <w:rsid w:val="00445909"/>
    <w:rsid w:val="00445CCF"/>
    <w:rsid w:val="00445D10"/>
    <w:rsid w:val="0044689E"/>
    <w:rsid w:val="00446B8C"/>
    <w:rsid w:val="00450A34"/>
    <w:rsid w:val="00450D2F"/>
    <w:rsid w:val="0045115C"/>
    <w:rsid w:val="0045259A"/>
    <w:rsid w:val="00452AF3"/>
    <w:rsid w:val="004537A0"/>
    <w:rsid w:val="00454176"/>
    <w:rsid w:val="00454FF9"/>
    <w:rsid w:val="0045633D"/>
    <w:rsid w:val="00456A16"/>
    <w:rsid w:val="00456C53"/>
    <w:rsid w:val="0045709B"/>
    <w:rsid w:val="004578DD"/>
    <w:rsid w:val="00457ABE"/>
    <w:rsid w:val="00457BE1"/>
    <w:rsid w:val="00460580"/>
    <w:rsid w:val="004608FD"/>
    <w:rsid w:val="004613AE"/>
    <w:rsid w:val="00462473"/>
    <w:rsid w:val="004629D5"/>
    <w:rsid w:val="00462BE4"/>
    <w:rsid w:val="00462EBB"/>
    <w:rsid w:val="00463323"/>
    <w:rsid w:val="0046384D"/>
    <w:rsid w:val="00463BB0"/>
    <w:rsid w:val="00463C90"/>
    <w:rsid w:val="00464CD2"/>
    <w:rsid w:val="0046505A"/>
    <w:rsid w:val="004654C5"/>
    <w:rsid w:val="00465A5E"/>
    <w:rsid w:val="00465D61"/>
    <w:rsid w:val="00465E2D"/>
    <w:rsid w:val="00466462"/>
    <w:rsid w:val="00466AC3"/>
    <w:rsid w:val="00466AE8"/>
    <w:rsid w:val="00466F44"/>
    <w:rsid w:val="004675A5"/>
    <w:rsid w:val="004675D4"/>
    <w:rsid w:val="00467832"/>
    <w:rsid w:val="004678CC"/>
    <w:rsid w:val="00467BC9"/>
    <w:rsid w:val="00467E23"/>
    <w:rsid w:val="004706B3"/>
    <w:rsid w:val="004725A6"/>
    <w:rsid w:val="00472C84"/>
    <w:rsid w:val="0047326E"/>
    <w:rsid w:val="00473488"/>
    <w:rsid w:val="00473F0E"/>
    <w:rsid w:val="00474498"/>
    <w:rsid w:val="00474CEC"/>
    <w:rsid w:val="00475EA0"/>
    <w:rsid w:val="00476853"/>
    <w:rsid w:val="00476BDB"/>
    <w:rsid w:val="00477188"/>
    <w:rsid w:val="004802D7"/>
    <w:rsid w:val="00482505"/>
    <w:rsid w:val="00482525"/>
    <w:rsid w:val="00482551"/>
    <w:rsid w:val="00482941"/>
    <w:rsid w:val="00482FAB"/>
    <w:rsid w:val="0048358C"/>
    <w:rsid w:val="00483D0F"/>
    <w:rsid w:val="00484087"/>
    <w:rsid w:val="00484868"/>
    <w:rsid w:val="00485DAF"/>
    <w:rsid w:val="00486782"/>
    <w:rsid w:val="0048702B"/>
    <w:rsid w:val="0048710E"/>
    <w:rsid w:val="00487925"/>
    <w:rsid w:val="00487F9E"/>
    <w:rsid w:val="00490012"/>
    <w:rsid w:val="00490375"/>
    <w:rsid w:val="00490882"/>
    <w:rsid w:val="00491C23"/>
    <w:rsid w:val="00491CDF"/>
    <w:rsid w:val="0049296D"/>
    <w:rsid w:val="004931F4"/>
    <w:rsid w:val="00493250"/>
    <w:rsid w:val="00495419"/>
    <w:rsid w:val="0049544B"/>
    <w:rsid w:val="00495804"/>
    <w:rsid w:val="00495EF6"/>
    <w:rsid w:val="004966F7"/>
    <w:rsid w:val="0049694A"/>
    <w:rsid w:val="004969AE"/>
    <w:rsid w:val="004973AE"/>
    <w:rsid w:val="004973EC"/>
    <w:rsid w:val="00497BCA"/>
    <w:rsid w:val="004A046C"/>
    <w:rsid w:val="004A0D54"/>
    <w:rsid w:val="004A0DBD"/>
    <w:rsid w:val="004A1628"/>
    <w:rsid w:val="004A163B"/>
    <w:rsid w:val="004A2FD6"/>
    <w:rsid w:val="004A35AA"/>
    <w:rsid w:val="004A38F2"/>
    <w:rsid w:val="004A3953"/>
    <w:rsid w:val="004A4128"/>
    <w:rsid w:val="004A47D7"/>
    <w:rsid w:val="004A5377"/>
    <w:rsid w:val="004A647B"/>
    <w:rsid w:val="004A6B41"/>
    <w:rsid w:val="004A6B5E"/>
    <w:rsid w:val="004A7A62"/>
    <w:rsid w:val="004A7AE4"/>
    <w:rsid w:val="004A7D75"/>
    <w:rsid w:val="004A7E1D"/>
    <w:rsid w:val="004B0696"/>
    <w:rsid w:val="004B0CC0"/>
    <w:rsid w:val="004B0F5A"/>
    <w:rsid w:val="004B1082"/>
    <w:rsid w:val="004B1324"/>
    <w:rsid w:val="004B2AAA"/>
    <w:rsid w:val="004B2B0D"/>
    <w:rsid w:val="004B2FF5"/>
    <w:rsid w:val="004B366B"/>
    <w:rsid w:val="004B44B2"/>
    <w:rsid w:val="004B4566"/>
    <w:rsid w:val="004B469E"/>
    <w:rsid w:val="004B4BE5"/>
    <w:rsid w:val="004B4E6B"/>
    <w:rsid w:val="004B4F18"/>
    <w:rsid w:val="004B58C5"/>
    <w:rsid w:val="004B6301"/>
    <w:rsid w:val="004B6371"/>
    <w:rsid w:val="004B639D"/>
    <w:rsid w:val="004B65A6"/>
    <w:rsid w:val="004B672F"/>
    <w:rsid w:val="004B67C9"/>
    <w:rsid w:val="004B6E45"/>
    <w:rsid w:val="004B6F69"/>
    <w:rsid w:val="004B7112"/>
    <w:rsid w:val="004B73B2"/>
    <w:rsid w:val="004C01DD"/>
    <w:rsid w:val="004C01F9"/>
    <w:rsid w:val="004C0454"/>
    <w:rsid w:val="004C07E8"/>
    <w:rsid w:val="004C085B"/>
    <w:rsid w:val="004C08BC"/>
    <w:rsid w:val="004C09EC"/>
    <w:rsid w:val="004C0D5B"/>
    <w:rsid w:val="004C27FB"/>
    <w:rsid w:val="004C2D88"/>
    <w:rsid w:val="004C32F4"/>
    <w:rsid w:val="004C3A3B"/>
    <w:rsid w:val="004C3A6D"/>
    <w:rsid w:val="004C4584"/>
    <w:rsid w:val="004C46BD"/>
    <w:rsid w:val="004C4909"/>
    <w:rsid w:val="004C4DA8"/>
    <w:rsid w:val="004C5197"/>
    <w:rsid w:val="004C554F"/>
    <w:rsid w:val="004C57C5"/>
    <w:rsid w:val="004C585E"/>
    <w:rsid w:val="004C5923"/>
    <w:rsid w:val="004C66FA"/>
    <w:rsid w:val="004C6ACA"/>
    <w:rsid w:val="004C6B0E"/>
    <w:rsid w:val="004C7816"/>
    <w:rsid w:val="004C79C1"/>
    <w:rsid w:val="004D08DD"/>
    <w:rsid w:val="004D0C95"/>
    <w:rsid w:val="004D0CE1"/>
    <w:rsid w:val="004D11B1"/>
    <w:rsid w:val="004D169F"/>
    <w:rsid w:val="004D2097"/>
    <w:rsid w:val="004D24F4"/>
    <w:rsid w:val="004D282E"/>
    <w:rsid w:val="004D293A"/>
    <w:rsid w:val="004D311B"/>
    <w:rsid w:val="004D35F2"/>
    <w:rsid w:val="004D40ED"/>
    <w:rsid w:val="004D5202"/>
    <w:rsid w:val="004D560B"/>
    <w:rsid w:val="004D599C"/>
    <w:rsid w:val="004D5F79"/>
    <w:rsid w:val="004D6715"/>
    <w:rsid w:val="004D693F"/>
    <w:rsid w:val="004D6BC2"/>
    <w:rsid w:val="004D6CAD"/>
    <w:rsid w:val="004D6D59"/>
    <w:rsid w:val="004D7EA1"/>
    <w:rsid w:val="004E0363"/>
    <w:rsid w:val="004E061C"/>
    <w:rsid w:val="004E0C9B"/>
    <w:rsid w:val="004E148F"/>
    <w:rsid w:val="004E18CD"/>
    <w:rsid w:val="004E1AF0"/>
    <w:rsid w:val="004E1FBF"/>
    <w:rsid w:val="004E2ED2"/>
    <w:rsid w:val="004E305C"/>
    <w:rsid w:val="004E33D5"/>
    <w:rsid w:val="004E439B"/>
    <w:rsid w:val="004E4A60"/>
    <w:rsid w:val="004E4F69"/>
    <w:rsid w:val="004E53A1"/>
    <w:rsid w:val="004E571C"/>
    <w:rsid w:val="004E66D3"/>
    <w:rsid w:val="004E7070"/>
    <w:rsid w:val="004E7188"/>
    <w:rsid w:val="004E744A"/>
    <w:rsid w:val="004E7BCE"/>
    <w:rsid w:val="004E7DFF"/>
    <w:rsid w:val="004E7FB9"/>
    <w:rsid w:val="004F027E"/>
    <w:rsid w:val="004F07EC"/>
    <w:rsid w:val="004F14EA"/>
    <w:rsid w:val="004F1A3D"/>
    <w:rsid w:val="004F1D92"/>
    <w:rsid w:val="004F20CE"/>
    <w:rsid w:val="004F2220"/>
    <w:rsid w:val="004F293E"/>
    <w:rsid w:val="004F2C5E"/>
    <w:rsid w:val="004F34A7"/>
    <w:rsid w:val="004F3D43"/>
    <w:rsid w:val="004F4F92"/>
    <w:rsid w:val="004F556C"/>
    <w:rsid w:val="004F603F"/>
    <w:rsid w:val="004F6806"/>
    <w:rsid w:val="004F6D95"/>
    <w:rsid w:val="004F7397"/>
    <w:rsid w:val="00500148"/>
    <w:rsid w:val="00500589"/>
    <w:rsid w:val="005009B8"/>
    <w:rsid w:val="00500D84"/>
    <w:rsid w:val="00501027"/>
    <w:rsid w:val="00501DE6"/>
    <w:rsid w:val="005023FD"/>
    <w:rsid w:val="00502B33"/>
    <w:rsid w:val="00502C76"/>
    <w:rsid w:val="00502CAC"/>
    <w:rsid w:val="0050338A"/>
    <w:rsid w:val="005036FC"/>
    <w:rsid w:val="005046B9"/>
    <w:rsid w:val="00504C09"/>
    <w:rsid w:val="005052DF"/>
    <w:rsid w:val="0050550B"/>
    <w:rsid w:val="005056E3"/>
    <w:rsid w:val="0050575D"/>
    <w:rsid w:val="00505895"/>
    <w:rsid w:val="00505AFF"/>
    <w:rsid w:val="00505E7E"/>
    <w:rsid w:val="00506160"/>
    <w:rsid w:val="0050696A"/>
    <w:rsid w:val="0050720B"/>
    <w:rsid w:val="0050742E"/>
    <w:rsid w:val="005074E2"/>
    <w:rsid w:val="00510161"/>
    <w:rsid w:val="00510393"/>
    <w:rsid w:val="005103E7"/>
    <w:rsid w:val="00510643"/>
    <w:rsid w:val="005128ED"/>
    <w:rsid w:val="00512931"/>
    <w:rsid w:val="00513A26"/>
    <w:rsid w:val="005145BF"/>
    <w:rsid w:val="00515F60"/>
    <w:rsid w:val="005161B7"/>
    <w:rsid w:val="00516EF9"/>
    <w:rsid w:val="00516F94"/>
    <w:rsid w:val="0051757A"/>
    <w:rsid w:val="005176F4"/>
    <w:rsid w:val="0051788E"/>
    <w:rsid w:val="00520445"/>
    <w:rsid w:val="005209D1"/>
    <w:rsid w:val="00522338"/>
    <w:rsid w:val="005224F8"/>
    <w:rsid w:val="00522E13"/>
    <w:rsid w:val="00523137"/>
    <w:rsid w:val="00524705"/>
    <w:rsid w:val="00524E2E"/>
    <w:rsid w:val="00525134"/>
    <w:rsid w:val="005251CB"/>
    <w:rsid w:val="00525581"/>
    <w:rsid w:val="005259A3"/>
    <w:rsid w:val="00526385"/>
    <w:rsid w:val="00526DF1"/>
    <w:rsid w:val="005273D9"/>
    <w:rsid w:val="00527DF7"/>
    <w:rsid w:val="00527F59"/>
    <w:rsid w:val="00530CF6"/>
    <w:rsid w:val="00530E92"/>
    <w:rsid w:val="00531291"/>
    <w:rsid w:val="00531456"/>
    <w:rsid w:val="005316CD"/>
    <w:rsid w:val="00531A03"/>
    <w:rsid w:val="00531EF3"/>
    <w:rsid w:val="005327D4"/>
    <w:rsid w:val="00532ADD"/>
    <w:rsid w:val="005330B6"/>
    <w:rsid w:val="00533209"/>
    <w:rsid w:val="005334D9"/>
    <w:rsid w:val="00533D72"/>
    <w:rsid w:val="0053493C"/>
    <w:rsid w:val="0053506C"/>
    <w:rsid w:val="00535DD4"/>
    <w:rsid w:val="005364F6"/>
    <w:rsid w:val="00536D30"/>
    <w:rsid w:val="00537026"/>
    <w:rsid w:val="005370A3"/>
    <w:rsid w:val="005374BF"/>
    <w:rsid w:val="005374C1"/>
    <w:rsid w:val="0053769D"/>
    <w:rsid w:val="0053798C"/>
    <w:rsid w:val="005410C6"/>
    <w:rsid w:val="00541BDC"/>
    <w:rsid w:val="00542494"/>
    <w:rsid w:val="005424DC"/>
    <w:rsid w:val="005459AD"/>
    <w:rsid w:val="00546B38"/>
    <w:rsid w:val="00546CB5"/>
    <w:rsid w:val="00546D17"/>
    <w:rsid w:val="00546F4D"/>
    <w:rsid w:val="005479B6"/>
    <w:rsid w:val="00547C92"/>
    <w:rsid w:val="00547DB4"/>
    <w:rsid w:val="00550633"/>
    <w:rsid w:val="005506EA"/>
    <w:rsid w:val="0055088E"/>
    <w:rsid w:val="00550ED4"/>
    <w:rsid w:val="0055112B"/>
    <w:rsid w:val="005517BC"/>
    <w:rsid w:val="00551DF5"/>
    <w:rsid w:val="00552051"/>
    <w:rsid w:val="00552A22"/>
    <w:rsid w:val="00553CA6"/>
    <w:rsid w:val="00553CF8"/>
    <w:rsid w:val="00554627"/>
    <w:rsid w:val="00554786"/>
    <w:rsid w:val="00555A5F"/>
    <w:rsid w:val="0055632F"/>
    <w:rsid w:val="00556AC3"/>
    <w:rsid w:val="00556B63"/>
    <w:rsid w:val="00557C98"/>
    <w:rsid w:val="00557CF6"/>
    <w:rsid w:val="00557D57"/>
    <w:rsid w:val="0056052B"/>
    <w:rsid w:val="005609A5"/>
    <w:rsid w:val="00560CDA"/>
    <w:rsid w:val="00561284"/>
    <w:rsid w:val="005612C1"/>
    <w:rsid w:val="00561D6A"/>
    <w:rsid w:val="00561EEC"/>
    <w:rsid w:val="005624BF"/>
    <w:rsid w:val="005625E4"/>
    <w:rsid w:val="00562B6F"/>
    <w:rsid w:val="005630D0"/>
    <w:rsid w:val="0056314B"/>
    <w:rsid w:val="005631B3"/>
    <w:rsid w:val="00564586"/>
    <w:rsid w:val="0056598A"/>
    <w:rsid w:val="00567D41"/>
    <w:rsid w:val="00567D47"/>
    <w:rsid w:val="00570E21"/>
    <w:rsid w:val="00571837"/>
    <w:rsid w:val="00571A1A"/>
    <w:rsid w:val="00572485"/>
    <w:rsid w:val="005725C6"/>
    <w:rsid w:val="005726B7"/>
    <w:rsid w:val="00572B31"/>
    <w:rsid w:val="0057328F"/>
    <w:rsid w:val="0057387B"/>
    <w:rsid w:val="0057395B"/>
    <w:rsid w:val="00573989"/>
    <w:rsid w:val="00574298"/>
    <w:rsid w:val="00574330"/>
    <w:rsid w:val="0057479F"/>
    <w:rsid w:val="005748A0"/>
    <w:rsid w:val="00574920"/>
    <w:rsid w:val="00575181"/>
    <w:rsid w:val="00576529"/>
    <w:rsid w:val="00576BB7"/>
    <w:rsid w:val="00577D63"/>
    <w:rsid w:val="00580423"/>
    <w:rsid w:val="005809DA"/>
    <w:rsid w:val="0058119F"/>
    <w:rsid w:val="00581E72"/>
    <w:rsid w:val="005821CE"/>
    <w:rsid w:val="00582D60"/>
    <w:rsid w:val="00582D95"/>
    <w:rsid w:val="00582FCA"/>
    <w:rsid w:val="005830E7"/>
    <w:rsid w:val="00583F48"/>
    <w:rsid w:val="00584745"/>
    <w:rsid w:val="00584F70"/>
    <w:rsid w:val="00585746"/>
    <w:rsid w:val="0058588A"/>
    <w:rsid w:val="00586ACF"/>
    <w:rsid w:val="005872F9"/>
    <w:rsid w:val="00590138"/>
    <w:rsid w:val="00590682"/>
    <w:rsid w:val="005907CB"/>
    <w:rsid w:val="005919D4"/>
    <w:rsid w:val="00592A44"/>
    <w:rsid w:val="0059311B"/>
    <w:rsid w:val="005933CD"/>
    <w:rsid w:val="00593CBA"/>
    <w:rsid w:val="005943E7"/>
    <w:rsid w:val="005944F8"/>
    <w:rsid w:val="0059490C"/>
    <w:rsid w:val="00594E1D"/>
    <w:rsid w:val="00595E27"/>
    <w:rsid w:val="005961AE"/>
    <w:rsid w:val="00596634"/>
    <w:rsid w:val="005967AB"/>
    <w:rsid w:val="00596CB2"/>
    <w:rsid w:val="00596E56"/>
    <w:rsid w:val="00597405"/>
    <w:rsid w:val="0059785F"/>
    <w:rsid w:val="005978CF"/>
    <w:rsid w:val="00597B27"/>
    <w:rsid w:val="00597CBB"/>
    <w:rsid w:val="005A0038"/>
    <w:rsid w:val="005A0199"/>
    <w:rsid w:val="005A0361"/>
    <w:rsid w:val="005A0915"/>
    <w:rsid w:val="005A0967"/>
    <w:rsid w:val="005A1053"/>
    <w:rsid w:val="005A1A71"/>
    <w:rsid w:val="005A282E"/>
    <w:rsid w:val="005A29A7"/>
    <w:rsid w:val="005A2B2E"/>
    <w:rsid w:val="005A2DE5"/>
    <w:rsid w:val="005A336A"/>
    <w:rsid w:val="005A3A4A"/>
    <w:rsid w:val="005A3A72"/>
    <w:rsid w:val="005A4382"/>
    <w:rsid w:val="005A542A"/>
    <w:rsid w:val="005A5679"/>
    <w:rsid w:val="005A58B6"/>
    <w:rsid w:val="005A631C"/>
    <w:rsid w:val="005A65F9"/>
    <w:rsid w:val="005A7095"/>
    <w:rsid w:val="005A70FB"/>
    <w:rsid w:val="005A71CE"/>
    <w:rsid w:val="005A7B6D"/>
    <w:rsid w:val="005B0FAF"/>
    <w:rsid w:val="005B1081"/>
    <w:rsid w:val="005B174A"/>
    <w:rsid w:val="005B2063"/>
    <w:rsid w:val="005B210E"/>
    <w:rsid w:val="005B2371"/>
    <w:rsid w:val="005B243E"/>
    <w:rsid w:val="005B2485"/>
    <w:rsid w:val="005B25B8"/>
    <w:rsid w:val="005B288D"/>
    <w:rsid w:val="005B2FC3"/>
    <w:rsid w:val="005B3125"/>
    <w:rsid w:val="005B31DA"/>
    <w:rsid w:val="005B3562"/>
    <w:rsid w:val="005B3C86"/>
    <w:rsid w:val="005B4633"/>
    <w:rsid w:val="005B48C5"/>
    <w:rsid w:val="005B48F7"/>
    <w:rsid w:val="005B48F9"/>
    <w:rsid w:val="005B4B2B"/>
    <w:rsid w:val="005B5304"/>
    <w:rsid w:val="005B53C7"/>
    <w:rsid w:val="005B6C75"/>
    <w:rsid w:val="005B7173"/>
    <w:rsid w:val="005B738E"/>
    <w:rsid w:val="005B7676"/>
    <w:rsid w:val="005B7A88"/>
    <w:rsid w:val="005C0742"/>
    <w:rsid w:val="005C08E7"/>
    <w:rsid w:val="005C11A2"/>
    <w:rsid w:val="005C155C"/>
    <w:rsid w:val="005C15D3"/>
    <w:rsid w:val="005C18FB"/>
    <w:rsid w:val="005C1A22"/>
    <w:rsid w:val="005C206C"/>
    <w:rsid w:val="005C262A"/>
    <w:rsid w:val="005C2E38"/>
    <w:rsid w:val="005C2F8B"/>
    <w:rsid w:val="005C38B3"/>
    <w:rsid w:val="005C3E9E"/>
    <w:rsid w:val="005C482E"/>
    <w:rsid w:val="005C5129"/>
    <w:rsid w:val="005C570D"/>
    <w:rsid w:val="005C57D3"/>
    <w:rsid w:val="005C63EB"/>
    <w:rsid w:val="005C6948"/>
    <w:rsid w:val="005C703A"/>
    <w:rsid w:val="005C72BA"/>
    <w:rsid w:val="005C7C0D"/>
    <w:rsid w:val="005D0149"/>
    <w:rsid w:val="005D0DB0"/>
    <w:rsid w:val="005D1040"/>
    <w:rsid w:val="005D113C"/>
    <w:rsid w:val="005D15D4"/>
    <w:rsid w:val="005D1DB0"/>
    <w:rsid w:val="005D2226"/>
    <w:rsid w:val="005D22B9"/>
    <w:rsid w:val="005D26BA"/>
    <w:rsid w:val="005D2B36"/>
    <w:rsid w:val="005D33D9"/>
    <w:rsid w:val="005D3471"/>
    <w:rsid w:val="005D4113"/>
    <w:rsid w:val="005D4756"/>
    <w:rsid w:val="005D4D07"/>
    <w:rsid w:val="005D58CC"/>
    <w:rsid w:val="005D5A4F"/>
    <w:rsid w:val="005D5A86"/>
    <w:rsid w:val="005D5CFB"/>
    <w:rsid w:val="005D5EAA"/>
    <w:rsid w:val="005D6AC6"/>
    <w:rsid w:val="005D7560"/>
    <w:rsid w:val="005D7AD0"/>
    <w:rsid w:val="005D7CEA"/>
    <w:rsid w:val="005D7E78"/>
    <w:rsid w:val="005E030D"/>
    <w:rsid w:val="005E0614"/>
    <w:rsid w:val="005E0D36"/>
    <w:rsid w:val="005E11CE"/>
    <w:rsid w:val="005E194D"/>
    <w:rsid w:val="005E2669"/>
    <w:rsid w:val="005E2CD4"/>
    <w:rsid w:val="005E3876"/>
    <w:rsid w:val="005E3C8D"/>
    <w:rsid w:val="005E3F7D"/>
    <w:rsid w:val="005E4750"/>
    <w:rsid w:val="005E4FC2"/>
    <w:rsid w:val="005E5CDA"/>
    <w:rsid w:val="005E5F5B"/>
    <w:rsid w:val="005E63E5"/>
    <w:rsid w:val="005E6668"/>
    <w:rsid w:val="005E6B5C"/>
    <w:rsid w:val="005E7015"/>
    <w:rsid w:val="005E7269"/>
    <w:rsid w:val="005E7C91"/>
    <w:rsid w:val="005F0FBF"/>
    <w:rsid w:val="005F0FCB"/>
    <w:rsid w:val="005F28C2"/>
    <w:rsid w:val="005F31E1"/>
    <w:rsid w:val="005F39BD"/>
    <w:rsid w:val="005F45E2"/>
    <w:rsid w:val="005F54C1"/>
    <w:rsid w:val="005F59FC"/>
    <w:rsid w:val="005F5A48"/>
    <w:rsid w:val="005F5CCD"/>
    <w:rsid w:val="005F6247"/>
    <w:rsid w:val="005F64BF"/>
    <w:rsid w:val="005F6CEB"/>
    <w:rsid w:val="005F718D"/>
    <w:rsid w:val="005F7262"/>
    <w:rsid w:val="005F7A19"/>
    <w:rsid w:val="005F7B04"/>
    <w:rsid w:val="006000BA"/>
    <w:rsid w:val="00601151"/>
    <w:rsid w:val="006019FB"/>
    <w:rsid w:val="00601CC4"/>
    <w:rsid w:val="006028D7"/>
    <w:rsid w:val="00603496"/>
    <w:rsid w:val="006036CA"/>
    <w:rsid w:val="00604032"/>
    <w:rsid w:val="006042C2"/>
    <w:rsid w:val="00605B89"/>
    <w:rsid w:val="00605CB1"/>
    <w:rsid w:val="00605F1D"/>
    <w:rsid w:val="00606E33"/>
    <w:rsid w:val="00607457"/>
    <w:rsid w:val="00607B7C"/>
    <w:rsid w:val="00607BEE"/>
    <w:rsid w:val="006101BB"/>
    <w:rsid w:val="006102E0"/>
    <w:rsid w:val="00610349"/>
    <w:rsid w:val="006103BC"/>
    <w:rsid w:val="00610B64"/>
    <w:rsid w:val="00611A17"/>
    <w:rsid w:val="00612E71"/>
    <w:rsid w:val="00613C75"/>
    <w:rsid w:val="00614089"/>
    <w:rsid w:val="00614701"/>
    <w:rsid w:val="00614AB6"/>
    <w:rsid w:val="00614B52"/>
    <w:rsid w:val="006151D9"/>
    <w:rsid w:val="006158A8"/>
    <w:rsid w:val="006160B3"/>
    <w:rsid w:val="006168A9"/>
    <w:rsid w:val="0061691B"/>
    <w:rsid w:val="0061697A"/>
    <w:rsid w:val="00616BB5"/>
    <w:rsid w:val="00616D2E"/>
    <w:rsid w:val="0061762B"/>
    <w:rsid w:val="00617990"/>
    <w:rsid w:val="00617FE0"/>
    <w:rsid w:val="00620A59"/>
    <w:rsid w:val="00621100"/>
    <w:rsid w:val="0062144B"/>
    <w:rsid w:val="006215EB"/>
    <w:rsid w:val="00621A84"/>
    <w:rsid w:val="00621B19"/>
    <w:rsid w:val="00621BC9"/>
    <w:rsid w:val="0062206E"/>
    <w:rsid w:val="00622DBE"/>
    <w:rsid w:val="00623846"/>
    <w:rsid w:val="00624526"/>
    <w:rsid w:val="00624529"/>
    <w:rsid w:val="00624941"/>
    <w:rsid w:val="00625CCA"/>
    <w:rsid w:val="006261FA"/>
    <w:rsid w:val="00626696"/>
    <w:rsid w:val="00626766"/>
    <w:rsid w:val="00626B50"/>
    <w:rsid w:val="00627846"/>
    <w:rsid w:val="006301D6"/>
    <w:rsid w:val="00631C74"/>
    <w:rsid w:val="00632166"/>
    <w:rsid w:val="00632219"/>
    <w:rsid w:val="00632520"/>
    <w:rsid w:val="00632BA1"/>
    <w:rsid w:val="0063334C"/>
    <w:rsid w:val="00633B7A"/>
    <w:rsid w:val="00633C04"/>
    <w:rsid w:val="0063466F"/>
    <w:rsid w:val="006348A7"/>
    <w:rsid w:val="006357C6"/>
    <w:rsid w:val="006360FC"/>
    <w:rsid w:val="00636150"/>
    <w:rsid w:val="006364C5"/>
    <w:rsid w:val="00636707"/>
    <w:rsid w:val="00636F80"/>
    <w:rsid w:val="00636FB4"/>
    <w:rsid w:val="00637330"/>
    <w:rsid w:val="00637657"/>
    <w:rsid w:val="00637BEE"/>
    <w:rsid w:val="00637DA7"/>
    <w:rsid w:val="00640123"/>
    <w:rsid w:val="006409BB"/>
    <w:rsid w:val="00640EF1"/>
    <w:rsid w:val="00641896"/>
    <w:rsid w:val="00641F0F"/>
    <w:rsid w:val="00641F8A"/>
    <w:rsid w:val="00642B04"/>
    <w:rsid w:val="0064356E"/>
    <w:rsid w:val="00645E1F"/>
    <w:rsid w:val="00646C48"/>
    <w:rsid w:val="0065054C"/>
    <w:rsid w:val="00650795"/>
    <w:rsid w:val="006508C5"/>
    <w:rsid w:val="00650C66"/>
    <w:rsid w:val="006510A5"/>
    <w:rsid w:val="006512E7"/>
    <w:rsid w:val="00651874"/>
    <w:rsid w:val="00651BDA"/>
    <w:rsid w:val="00652974"/>
    <w:rsid w:val="00652A8E"/>
    <w:rsid w:val="00652B9D"/>
    <w:rsid w:val="00652C9C"/>
    <w:rsid w:val="006535FD"/>
    <w:rsid w:val="00653EF0"/>
    <w:rsid w:val="0065430F"/>
    <w:rsid w:val="0065453E"/>
    <w:rsid w:val="00655107"/>
    <w:rsid w:val="006551EE"/>
    <w:rsid w:val="00655E2A"/>
    <w:rsid w:val="00655EAC"/>
    <w:rsid w:val="0065692B"/>
    <w:rsid w:val="0065713F"/>
    <w:rsid w:val="006571AF"/>
    <w:rsid w:val="00657676"/>
    <w:rsid w:val="00660826"/>
    <w:rsid w:val="00660A7D"/>
    <w:rsid w:val="00661249"/>
    <w:rsid w:val="00661633"/>
    <w:rsid w:val="0066187C"/>
    <w:rsid w:val="00661A5D"/>
    <w:rsid w:val="00662904"/>
    <w:rsid w:val="00663232"/>
    <w:rsid w:val="00663297"/>
    <w:rsid w:val="006633C4"/>
    <w:rsid w:val="006637AD"/>
    <w:rsid w:val="00663D7B"/>
    <w:rsid w:val="00663FDE"/>
    <w:rsid w:val="006656CF"/>
    <w:rsid w:val="00665837"/>
    <w:rsid w:val="0066589E"/>
    <w:rsid w:val="00665CD4"/>
    <w:rsid w:val="00665F85"/>
    <w:rsid w:val="00666D4F"/>
    <w:rsid w:val="00667329"/>
    <w:rsid w:val="00670445"/>
    <w:rsid w:val="0067101C"/>
    <w:rsid w:val="006716C9"/>
    <w:rsid w:val="00671AB1"/>
    <w:rsid w:val="00672009"/>
    <w:rsid w:val="0067275A"/>
    <w:rsid w:val="00672A80"/>
    <w:rsid w:val="00672F84"/>
    <w:rsid w:val="006734F5"/>
    <w:rsid w:val="0067354B"/>
    <w:rsid w:val="00673B30"/>
    <w:rsid w:val="00673F08"/>
    <w:rsid w:val="006742BC"/>
    <w:rsid w:val="006743D6"/>
    <w:rsid w:val="00674D6A"/>
    <w:rsid w:val="00675390"/>
    <w:rsid w:val="006757A4"/>
    <w:rsid w:val="006765A9"/>
    <w:rsid w:val="006770CC"/>
    <w:rsid w:val="00680BDD"/>
    <w:rsid w:val="00680F13"/>
    <w:rsid w:val="00680FA7"/>
    <w:rsid w:val="00681E69"/>
    <w:rsid w:val="00681EE9"/>
    <w:rsid w:val="00682920"/>
    <w:rsid w:val="00682CC4"/>
    <w:rsid w:val="00682DA8"/>
    <w:rsid w:val="00685075"/>
    <w:rsid w:val="006854A9"/>
    <w:rsid w:val="0068564A"/>
    <w:rsid w:val="00685B26"/>
    <w:rsid w:val="00685F91"/>
    <w:rsid w:val="0068643D"/>
    <w:rsid w:val="00686D20"/>
    <w:rsid w:val="0068711F"/>
    <w:rsid w:val="00690906"/>
    <w:rsid w:val="006909E4"/>
    <w:rsid w:val="00690CA2"/>
    <w:rsid w:val="00691027"/>
    <w:rsid w:val="00691C3D"/>
    <w:rsid w:val="00691C9C"/>
    <w:rsid w:val="00691F63"/>
    <w:rsid w:val="0069270C"/>
    <w:rsid w:val="00693290"/>
    <w:rsid w:val="00693FAA"/>
    <w:rsid w:val="006940D4"/>
    <w:rsid w:val="00694239"/>
    <w:rsid w:val="006945A7"/>
    <w:rsid w:val="00694EEC"/>
    <w:rsid w:val="006953AB"/>
    <w:rsid w:val="00696154"/>
    <w:rsid w:val="006967B4"/>
    <w:rsid w:val="006978D1"/>
    <w:rsid w:val="006A00BD"/>
    <w:rsid w:val="006A074E"/>
    <w:rsid w:val="006A0BF6"/>
    <w:rsid w:val="006A0F4C"/>
    <w:rsid w:val="006A17FC"/>
    <w:rsid w:val="006A1BD3"/>
    <w:rsid w:val="006A1D65"/>
    <w:rsid w:val="006A225A"/>
    <w:rsid w:val="006A3060"/>
    <w:rsid w:val="006A31CB"/>
    <w:rsid w:val="006A3241"/>
    <w:rsid w:val="006A40A5"/>
    <w:rsid w:val="006A4182"/>
    <w:rsid w:val="006A47CF"/>
    <w:rsid w:val="006A560B"/>
    <w:rsid w:val="006A5A86"/>
    <w:rsid w:val="006A6363"/>
    <w:rsid w:val="006A66D8"/>
    <w:rsid w:val="006A7002"/>
    <w:rsid w:val="006A7091"/>
    <w:rsid w:val="006A7A0E"/>
    <w:rsid w:val="006A7D3C"/>
    <w:rsid w:val="006B0791"/>
    <w:rsid w:val="006B10B4"/>
    <w:rsid w:val="006B1E80"/>
    <w:rsid w:val="006B1F9C"/>
    <w:rsid w:val="006B31D2"/>
    <w:rsid w:val="006B415A"/>
    <w:rsid w:val="006B4EB2"/>
    <w:rsid w:val="006B4F3D"/>
    <w:rsid w:val="006B4FDA"/>
    <w:rsid w:val="006B531F"/>
    <w:rsid w:val="006B5773"/>
    <w:rsid w:val="006B58CE"/>
    <w:rsid w:val="006B593E"/>
    <w:rsid w:val="006B5E30"/>
    <w:rsid w:val="006B5F79"/>
    <w:rsid w:val="006B670A"/>
    <w:rsid w:val="006B6F23"/>
    <w:rsid w:val="006B7B73"/>
    <w:rsid w:val="006C05A5"/>
    <w:rsid w:val="006C0D7E"/>
    <w:rsid w:val="006C1277"/>
    <w:rsid w:val="006C137A"/>
    <w:rsid w:val="006C1668"/>
    <w:rsid w:val="006C221B"/>
    <w:rsid w:val="006C22F5"/>
    <w:rsid w:val="006C23D5"/>
    <w:rsid w:val="006C258F"/>
    <w:rsid w:val="006C33CA"/>
    <w:rsid w:val="006C34BC"/>
    <w:rsid w:val="006C3684"/>
    <w:rsid w:val="006C3BCA"/>
    <w:rsid w:val="006C3F7E"/>
    <w:rsid w:val="006C4905"/>
    <w:rsid w:val="006C4B25"/>
    <w:rsid w:val="006C4E9E"/>
    <w:rsid w:val="006C5625"/>
    <w:rsid w:val="006C5C5D"/>
    <w:rsid w:val="006C65E5"/>
    <w:rsid w:val="006C6689"/>
    <w:rsid w:val="006C762F"/>
    <w:rsid w:val="006D0146"/>
    <w:rsid w:val="006D05A1"/>
    <w:rsid w:val="006D0D93"/>
    <w:rsid w:val="006D2E40"/>
    <w:rsid w:val="006D338E"/>
    <w:rsid w:val="006D3CE1"/>
    <w:rsid w:val="006D3F0D"/>
    <w:rsid w:val="006D5103"/>
    <w:rsid w:val="006D5507"/>
    <w:rsid w:val="006D5C3B"/>
    <w:rsid w:val="006D5F30"/>
    <w:rsid w:val="006D614B"/>
    <w:rsid w:val="006D6331"/>
    <w:rsid w:val="006D6F8D"/>
    <w:rsid w:val="006D7741"/>
    <w:rsid w:val="006D788D"/>
    <w:rsid w:val="006D7A0A"/>
    <w:rsid w:val="006D7AA0"/>
    <w:rsid w:val="006D7EEA"/>
    <w:rsid w:val="006D7F4B"/>
    <w:rsid w:val="006E011D"/>
    <w:rsid w:val="006E0450"/>
    <w:rsid w:val="006E04D4"/>
    <w:rsid w:val="006E0523"/>
    <w:rsid w:val="006E0B72"/>
    <w:rsid w:val="006E0DB7"/>
    <w:rsid w:val="006E1C41"/>
    <w:rsid w:val="006E1E67"/>
    <w:rsid w:val="006E22F0"/>
    <w:rsid w:val="006E2B6B"/>
    <w:rsid w:val="006E3229"/>
    <w:rsid w:val="006E3910"/>
    <w:rsid w:val="006E4AF0"/>
    <w:rsid w:val="006E4B11"/>
    <w:rsid w:val="006E4EA0"/>
    <w:rsid w:val="006E5591"/>
    <w:rsid w:val="006E5AED"/>
    <w:rsid w:val="006E6CA7"/>
    <w:rsid w:val="006E70DC"/>
    <w:rsid w:val="006E7280"/>
    <w:rsid w:val="006E7960"/>
    <w:rsid w:val="006E79B3"/>
    <w:rsid w:val="006E7A96"/>
    <w:rsid w:val="006E7D86"/>
    <w:rsid w:val="006E7E84"/>
    <w:rsid w:val="006F0344"/>
    <w:rsid w:val="006F063D"/>
    <w:rsid w:val="006F07EC"/>
    <w:rsid w:val="006F2106"/>
    <w:rsid w:val="006F2169"/>
    <w:rsid w:val="006F2809"/>
    <w:rsid w:val="006F2B80"/>
    <w:rsid w:val="006F2EA7"/>
    <w:rsid w:val="006F2F81"/>
    <w:rsid w:val="006F42BB"/>
    <w:rsid w:val="006F49DF"/>
    <w:rsid w:val="006F4E80"/>
    <w:rsid w:val="006F521B"/>
    <w:rsid w:val="006F5384"/>
    <w:rsid w:val="006F6BDB"/>
    <w:rsid w:val="006F723B"/>
    <w:rsid w:val="006F7665"/>
    <w:rsid w:val="007010F7"/>
    <w:rsid w:val="0070126D"/>
    <w:rsid w:val="007016D1"/>
    <w:rsid w:val="00701CF3"/>
    <w:rsid w:val="00701E9A"/>
    <w:rsid w:val="00702257"/>
    <w:rsid w:val="00702780"/>
    <w:rsid w:val="007033B5"/>
    <w:rsid w:val="007033D0"/>
    <w:rsid w:val="007037B5"/>
    <w:rsid w:val="007037DF"/>
    <w:rsid w:val="007038C4"/>
    <w:rsid w:val="00705CCC"/>
    <w:rsid w:val="00705E55"/>
    <w:rsid w:val="0070625A"/>
    <w:rsid w:val="00706642"/>
    <w:rsid w:val="007069B5"/>
    <w:rsid w:val="00706C91"/>
    <w:rsid w:val="00706DA6"/>
    <w:rsid w:val="007078A4"/>
    <w:rsid w:val="00710422"/>
    <w:rsid w:val="00710C6C"/>
    <w:rsid w:val="00710C80"/>
    <w:rsid w:val="00711274"/>
    <w:rsid w:val="007118E5"/>
    <w:rsid w:val="0071195D"/>
    <w:rsid w:val="00711ABD"/>
    <w:rsid w:val="00711B20"/>
    <w:rsid w:val="00712037"/>
    <w:rsid w:val="007120B8"/>
    <w:rsid w:val="00712149"/>
    <w:rsid w:val="00712638"/>
    <w:rsid w:val="00712651"/>
    <w:rsid w:val="007145BC"/>
    <w:rsid w:val="00714A83"/>
    <w:rsid w:val="00715317"/>
    <w:rsid w:val="00715438"/>
    <w:rsid w:val="00715744"/>
    <w:rsid w:val="0071694E"/>
    <w:rsid w:val="00716C7B"/>
    <w:rsid w:val="00716E3C"/>
    <w:rsid w:val="007174A1"/>
    <w:rsid w:val="007176A0"/>
    <w:rsid w:val="0071783E"/>
    <w:rsid w:val="00717A5D"/>
    <w:rsid w:val="00720017"/>
    <w:rsid w:val="007206E9"/>
    <w:rsid w:val="0072074F"/>
    <w:rsid w:val="00720861"/>
    <w:rsid w:val="00720938"/>
    <w:rsid w:val="00720F76"/>
    <w:rsid w:val="0072175A"/>
    <w:rsid w:val="00722C08"/>
    <w:rsid w:val="00722C30"/>
    <w:rsid w:val="00723DDC"/>
    <w:rsid w:val="0072409E"/>
    <w:rsid w:val="00724386"/>
    <w:rsid w:val="00724AB5"/>
    <w:rsid w:val="00724E0F"/>
    <w:rsid w:val="0072601D"/>
    <w:rsid w:val="00726699"/>
    <w:rsid w:val="00726A87"/>
    <w:rsid w:val="00726CE4"/>
    <w:rsid w:val="00726E07"/>
    <w:rsid w:val="00727E17"/>
    <w:rsid w:val="00730638"/>
    <w:rsid w:val="007308FB"/>
    <w:rsid w:val="00730A73"/>
    <w:rsid w:val="0073125E"/>
    <w:rsid w:val="00732490"/>
    <w:rsid w:val="00732DB0"/>
    <w:rsid w:val="0073380C"/>
    <w:rsid w:val="00733AEE"/>
    <w:rsid w:val="007342D6"/>
    <w:rsid w:val="00734369"/>
    <w:rsid w:val="00734425"/>
    <w:rsid w:val="007348EF"/>
    <w:rsid w:val="0073509B"/>
    <w:rsid w:val="00735767"/>
    <w:rsid w:val="00735879"/>
    <w:rsid w:val="00735FB3"/>
    <w:rsid w:val="00736965"/>
    <w:rsid w:val="00736A7D"/>
    <w:rsid w:val="00736B6F"/>
    <w:rsid w:val="00736F1B"/>
    <w:rsid w:val="00737656"/>
    <w:rsid w:val="00737879"/>
    <w:rsid w:val="00737B82"/>
    <w:rsid w:val="00740835"/>
    <w:rsid w:val="00740D17"/>
    <w:rsid w:val="00740D50"/>
    <w:rsid w:val="00741A28"/>
    <w:rsid w:val="007422BE"/>
    <w:rsid w:val="00742A9E"/>
    <w:rsid w:val="00743023"/>
    <w:rsid w:val="0074380D"/>
    <w:rsid w:val="00744730"/>
    <w:rsid w:val="00744CDD"/>
    <w:rsid w:val="00744D38"/>
    <w:rsid w:val="007450F3"/>
    <w:rsid w:val="00745436"/>
    <w:rsid w:val="007466A4"/>
    <w:rsid w:val="007466F2"/>
    <w:rsid w:val="00747610"/>
    <w:rsid w:val="0074768C"/>
    <w:rsid w:val="00747C04"/>
    <w:rsid w:val="00747D9F"/>
    <w:rsid w:val="00750105"/>
    <w:rsid w:val="00750883"/>
    <w:rsid w:val="00750F11"/>
    <w:rsid w:val="00750FF6"/>
    <w:rsid w:val="007513FD"/>
    <w:rsid w:val="0075149B"/>
    <w:rsid w:val="007525B9"/>
    <w:rsid w:val="00752AA9"/>
    <w:rsid w:val="0075312F"/>
    <w:rsid w:val="0075348B"/>
    <w:rsid w:val="00753680"/>
    <w:rsid w:val="00753B87"/>
    <w:rsid w:val="00753E32"/>
    <w:rsid w:val="007543F6"/>
    <w:rsid w:val="00754819"/>
    <w:rsid w:val="00756C0B"/>
    <w:rsid w:val="00756D61"/>
    <w:rsid w:val="00757662"/>
    <w:rsid w:val="007600A4"/>
    <w:rsid w:val="007601CD"/>
    <w:rsid w:val="00760820"/>
    <w:rsid w:val="00760918"/>
    <w:rsid w:val="00760B29"/>
    <w:rsid w:val="00761DFB"/>
    <w:rsid w:val="007621A7"/>
    <w:rsid w:val="007624BE"/>
    <w:rsid w:val="007624F7"/>
    <w:rsid w:val="007625F9"/>
    <w:rsid w:val="007627A1"/>
    <w:rsid w:val="00763695"/>
    <w:rsid w:val="00764CF4"/>
    <w:rsid w:val="007655BD"/>
    <w:rsid w:val="00765864"/>
    <w:rsid w:val="007659AA"/>
    <w:rsid w:val="00765C66"/>
    <w:rsid w:val="007662E0"/>
    <w:rsid w:val="00766484"/>
    <w:rsid w:val="007665E0"/>
    <w:rsid w:val="00766857"/>
    <w:rsid w:val="007669DC"/>
    <w:rsid w:val="0077002C"/>
    <w:rsid w:val="007700DE"/>
    <w:rsid w:val="007701B6"/>
    <w:rsid w:val="007704E8"/>
    <w:rsid w:val="007707E1"/>
    <w:rsid w:val="00770DC7"/>
    <w:rsid w:val="00771161"/>
    <w:rsid w:val="007715A3"/>
    <w:rsid w:val="00772451"/>
    <w:rsid w:val="00773ACD"/>
    <w:rsid w:val="00773B04"/>
    <w:rsid w:val="00773C10"/>
    <w:rsid w:val="00774779"/>
    <w:rsid w:val="00774B98"/>
    <w:rsid w:val="00774BB3"/>
    <w:rsid w:val="007757C6"/>
    <w:rsid w:val="00776082"/>
    <w:rsid w:val="00776525"/>
    <w:rsid w:val="00776C66"/>
    <w:rsid w:val="00776FC4"/>
    <w:rsid w:val="00777173"/>
    <w:rsid w:val="007777D1"/>
    <w:rsid w:val="00777D9D"/>
    <w:rsid w:val="00780960"/>
    <w:rsid w:val="00780F26"/>
    <w:rsid w:val="00780F35"/>
    <w:rsid w:val="00781334"/>
    <w:rsid w:val="00782E29"/>
    <w:rsid w:val="00783026"/>
    <w:rsid w:val="007833D2"/>
    <w:rsid w:val="00783E13"/>
    <w:rsid w:val="00783E78"/>
    <w:rsid w:val="007840B3"/>
    <w:rsid w:val="00784277"/>
    <w:rsid w:val="00784870"/>
    <w:rsid w:val="00784F5A"/>
    <w:rsid w:val="007853BF"/>
    <w:rsid w:val="007854B0"/>
    <w:rsid w:val="007854D4"/>
    <w:rsid w:val="0078575D"/>
    <w:rsid w:val="00785BE8"/>
    <w:rsid w:val="00785D79"/>
    <w:rsid w:val="0078601E"/>
    <w:rsid w:val="007861B5"/>
    <w:rsid w:val="007865DF"/>
    <w:rsid w:val="00787B4A"/>
    <w:rsid w:val="00787CA3"/>
    <w:rsid w:val="007901FD"/>
    <w:rsid w:val="00790FA9"/>
    <w:rsid w:val="00791584"/>
    <w:rsid w:val="00791906"/>
    <w:rsid w:val="00791DB7"/>
    <w:rsid w:val="007926BF"/>
    <w:rsid w:val="00793642"/>
    <w:rsid w:val="007941ED"/>
    <w:rsid w:val="007942BF"/>
    <w:rsid w:val="007948C8"/>
    <w:rsid w:val="00795895"/>
    <w:rsid w:val="00795C85"/>
    <w:rsid w:val="007960FA"/>
    <w:rsid w:val="007961F6"/>
    <w:rsid w:val="007966C7"/>
    <w:rsid w:val="00796A20"/>
    <w:rsid w:val="00797597"/>
    <w:rsid w:val="007976A2"/>
    <w:rsid w:val="00797848"/>
    <w:rsid w:val="007978CC"/>
    <w:rsid w:val="007A10AD"/>
    <w:rsid w:val="007A1E70"/>
    <w:rsid w:val="007A2154"/>
    <w:rsid w:val="007A33B6"/>
    <w:rsid w:val="007A3465"/>
    <w:rsid w:val="007A3A75"/>
    <w:rsid w:val="007A3C73"/>
    <w:rsid w:val="007A5CAD"/>
    <w:rsid w:val="007A6067"/>
    <w:rsid w:val="007A624D"/>
    <w:rsid w:val="007A68A7"/>
    <w:rsid w:val="007A6AF5"/>
    <w:rsid w:val="007A6BBD"/>
    <w:rsid w:val="007A6F29"/>
    <w:rsid w:val="007A76AC"/>
    <w:rsid w:val="007A79EC"/>
    <w:rsid w:val="007A7AC2"/>
    <w:rsid w:val="007A7BBA"/>
    <w:rsid w:val="007B04BF"/>
    <w:rsid w:val="007B07AA"/>
    <w:rsid w:val="007B0962"/>
    <w:rsid w:val="007B171C"/>
    <w:rsid w:val="007B2CA2"/>
    <w:rsid w:val="007B3223"/>
    <w:rsid w:val="007B3648"/>
    <w:rsid w:val="007B3972"/>
    <w:rsid w:val="007B3C59"/>
    <w:rsid w:val="007B45DB"/>
    <w:rsid w:val="007B4776"/>
    <w:rsid w:val="007B48A1"/>
    <w:rsid w:val="007B49BF"/>
    <w:rsid w:val="007B5326"/>
    <w:rsid w:val="007B6024"/>
    <w:rsid w:val="007B64AB"/>
    <w:rsid w:val="007B68BC"/>
    <w:rsid w:val="007B7402"/>
    <w:rsid w:val="007B753B"/>
    <w:rsid w:val="007B79E4"/>
    <w:rsid w:val="007C0706"/>
    <w:rsid w:val="007C0853"/>
    <w:rsid w:val="007C238A"/>
    <w:rsid w:val="007C290C"/>
    <w:rsid w:val="007C2E34"/>
    <w:rsid w:val="007C3750"/>
    <w:rsid w:val="007C3887"/>
    <w:rsid w:val="007C3BFD"/>
    <w:rsid w:val="007C4D03"/>
    <w:rsid w:val="007C4E9C"/>
    <w:rsid w:val="007C5780"/>
    <w:rsid w:val="007C6361"/>
    <w:rsid w:val="007C78DB"/>
    <w:rsid w:val="007C7F77"/>
    <w:rsid w:val="007D0962"/>
    <w:rsid w:val="007D0B57"/>
    <w:rsid w:val="007D1AA3"/>
    <w:rsid w:val="007D2D82"/>
    <w:rsid w:val="007D4484"/>
    <w:rsid w:val="007D4CA4"/>
    <w:rsid w:val="007D4FAB"/>
    <w:rsid w:val="007D5F07"/>
    <w:rsid w:val="007D6065"/>
    <w:rsid w:val="007D6237"/>
    <w:rsid w:val="007D6B98"/>
    <w:rsid w:val="007D6F5E"/>
    <w:rsid w:val="007D79DD"/>
    <w:rsid w:val="007D7AB8"/>
    <w:rsid w:val="007E02C5"/>
    <w:rsid w:val="007E0353"/>
    <w:rsid w:val="007E0469"/>
    <w:rsid w:val="007E04D5"/>
    <w:rsid w:val="007E09FD"/>
    <w:rsid w:val="007E16C1"/>
    <w:rsid w:val="007E1744"/>
    <w:rsid w:val="007E202E"/>
    <w:rsid w:val="007E2708"/>
    <w:rsid w:val="007E317B"/>
    <w:rsid w:val="007E3294"/>
    <w:rsid w:val="007E3316"/>
    <w:rsid w:val="007E3971"/>
    <w:rsid w:val="007E43EA"/>
    <w:rsid w:val="007E48D9"/>
    <w:rsid w:val="007E48DE"/>
    <w:rsid w:val="007E4ABB"/>
    <w:rsid w:val="007E4E8B"/>
    <w:rsid w:val="007E5E01"/>
    <w:rsid w:val="007E5FFD"/>
    <w:rsid w:val="007E6A2E"/>
    <w:rsid w:val="007E7210"/>
    <w:rsid w:val="007E73DB"/>
    <w:rsid w:val="007F0062"/>
    <w:rsid w:val="007F05C5"/>
    <w:rsid w:val="007F05DE"/>
    <w:rsid w:val="007F069D"/>
    <w:rsid w:val="007F07EE"/>
    <w:rsid w:val="007F0917"/>
    <w:rsid w:val="007F21CB"/>
    <w:rsid w:val="007F240C"/>
    <w:rsid w:val="007F2602"/>
    <w:rsid w:val="007F2622"/>
    <w:rsid w:val="007F311E"/>
    <w:rsid w:val="007F3681"/>
    <w:rsid w:val="007F3BB3"/>
    <w:rsid w:val="007F3CE9"/>
    <w:rsid w:val="007F4095"/>
    <w:rsid w:val="007F4265"/>
    <w:rsid w:val="007F587F"/>
    <w:rsid w:val="007F5F5D"/>
    <w:rsid w:val="007F6583"/>
    <w:rsid w:val="007F65F2"/>
    <w:rsid w:val="007F67F8"/>
    <w:rsid w:val="007F69FB"/>
    <w:rsid w:val="007F6C14"/>
    <w:rsid w:val="007F6C85"/>
    <w:rsid w:val="007F707C"/>
    <w:rsid w:val="007F74F8"/>
    <w:rsid w:val="007F7B6C"/>
    <w:rsid w:val="007F7B97"/>
    <w:rsid w:val="008003B8"/>
    <w:rsid w:val="00800762"/>
    <w:rsid w:val="00800A94"/>
    <w:rsid w:val="00800FBF"/>
    <w:rsid w:val="00801278"/>
    <w:rsid w:val="0080134C"/>
    <w:rsid w:val="00801670"/>
    <w:rsid w:val="00801698"/>
    <w:rsid w:val="00802186"/>
    <w:rsid w:val="008024FC"/>
    <w:rsid w:val="00802522"/>
    <w:rsid w:val="00803229"/>
    <w:rsid w:val="008036B7"/>
    <w:rsid w:val="00803A73"/>
    <w:rsid w:val="00804080"/>
    <w:rsid w:val="008049AA"/>
    <w:rsid w:val="00804AD8"/>
    <w:rsid w:val="00804CE0"/>
    <w:rsid w:val="00805617"/>
    <w:rsid w:val="00805999"/>
    <w:rsid w:val="00806245"/>
    <w:rsid w:val="00806410"/>
    <w:rsid w:val="008068F1"/>
    <w:rsid w:val="008070BC"/>
    <w:rsid w:val="00807B32"/>
    <w:rsid w:val="00807F3E"/>
    <w:rsid w:val="00810CC6"/>
    <w:rsid w:val="0081181C"/>
    <w:rsid w:val="00812776"/>
    <w:rsid w:val="00812A27"/>
    <w:rsid w:val="00812DC4"/>
    <w:rsid w:val="008132A6"/>
    <w:rsid w:val="0081376D"/>
    <w:rsid w:val="008138CB"/>
    <w:rsid w:val="00813B98"/>
    <w:rsid w:val="00813C87"/>
    <w:rsid w:val="00813D0F"/>
    <w:rsid w:val="008143E0"/>
    <w:rsid w:val="0081444D"/>
    <w:rsid w:val="008145BC"/>
    <w:rsid w:val="00814717"/>
    <w:rsid w:val="0081480F"/>
    <w:rsid w:val="00814A53"/>
    <w:rsid w:val="00814A64"/>
    <w:rsid w:val="008157D6"/>
    <w:rsid w:val="008163C6"/>
    <w:rsid w:val="008169B1"/>
    <w:rsid w:val="00817468"/>
    <w:rsid w:val="00817D99"/>
    <w:rsid w:val="00820C39"/>
    <w:rsid w:val="008210E6"/>
    <w:rsid w:val="008215C4"/>
    <w:rsid w:val="00821882"/>
    <w:rsid w:val="008225F6"/>
    <w:rsid w:val="0082317E"/>
    <w:rsid w:val="0082359F"/>
    <w:rsid w:val="00823E79"/>
    <w:rsid w:val="008241A2"/>
    <w:rsid w:val="00824426"/>
    <w:rsid w:val="00824535"/>
    <w:rsid w:val="008258A9"/>
    <w:rsid w:val="008258FD"/>
    <w:rsid w:val="0082607E"/>
    <w:rsid w:val="008264CC"/>
    <w:rsid w:val="0082668F"/>
    <w:rsid w:val="008277E8"/>
    <w:rsid w:val="008301C3"/>
    <w:rsid w:val="0083080D"/>
    <w:rsid w:val="00830D4B"/>
    <w:rsid w:val="00830EB5"/>
    <w:rsid w:val="008315F7"/>
    <w:rsid w:val="008316D3"/>
    <w:rsid w:val="008326FB"/>
    <w:rsid w:val="0083374D"/>
    <w:rsid w:val="0083494D"/>
    <w:rsid w:val="00835760"/>
    <w:rsid w:val="00835BEB"/>
    <w:rsid w:val="00836859"/>
    <w:rsid w:val="00836AF4"/>
    <w:rsid w:val="008375D7"/>
    <w:rsid w:val="00837690"/>
    <w:rsid w:val="00837851"/>
    <w:rsid w:val="00837B01"/>
    <w:rsid w:val="008419A3"/>
    <w:rsid w:val="008426A7"/>
    <w:rsid w:val="008428BA"/>
    <w:rsid w:val="00842B1D"/>
    <w:rsid w:val="00842D7D"/>
    <w:rsid w:val="0084316D"/>
    <w:rsid w:val="00843247"/>
    <w:rsid w:val="00843EDD"/>
    <w:rsid w:val="008450E1"/>
    <w:rsid w:val="00845DF3"/>
    <w:rsid w:val="00845F42"/>
    <w:rsid w:val="008463C8"/>
    <w:rsid w:val="00846A5C"/>
    <w:rsid w:val="00846FC2"/>
    <w:rsid w:val="008473DA"/>
    <w:rsid w:val="00847DC8"/>
    <w:rsid w:val="00850D3A"/>
    <w:rsid w:val="00850E21"/>
    <w:rsid w:val="008511FD"/>
    <w:rsid w:val="00851404"/>
    <w:rsid w:val="00852338"/>
    <w:rsid w:val="00852484"/>
    <w:rsid w:val="008528AB"/>
    <w:rsid w:val="0085322A"/>
    <w:rsid w:val="008537FB"/>
    <w:rsid w:val="008538B2"/>
    <w:rsid w:val="00853D67"/>
    <w:rsid w:val="00854875"/>
    <w:rsid w:val="00854E83"/>
    <w:rsid w:val="00856297"/>
    <w:rsid w:val="008562E5"/>
    <w:rsid w:val="008567BF"/>
    <w:rsid w:val="00856DA5"/>
    <w:rsid w:val="008570D4"/>
    <w:rsid w:val="008574F3"/>
    <w:rsid w:val="00857822"/>
    <w:rsid w:val="008578C7"/>
    <w:rsid w:val="00857DC9"/>
    <w:rsid w:val="008605EB"/>
    <w:rsid w:val="0086064A"/>
    <w:rsid w:val="008609A3"/>
    <w:rsid w:val="00860A2E"/>
    <w:rsid w:val="00861045"/>
    <w:rsid w:val="008611F8"/>
    <w:rsid w:val="00861A8D"/>
    <w:rsid w:val="00862C91"/>
    <w:rsid w:val="008634C7"/>
    <w:rsid w:val="00863A73"/>
    <w:rsid w:val="00863E64"/>
    <w:rsid w:val="00864362"/>
    <w:rsid w:val="0086457F"/>
    <w:rsid w:val="008651BC"/>
    <w:rsid w:val="0086542A"/>
    <w:rsid w:val="008668FE"/>
    <w:rsid w:val="00866A57"/>
    <w:rsid w:val="008676D6"/>
    <w:rsid w:val="00867831"/>
    <w:rsid w:val="00870627"/>
    <w:rsid w:val="008709AE"/>
    <w:rsid w:val="00870B21"/>
    <w:rsid w:val="00870E83"/>
    <w:rsid w:val="0087121C"/>
    <w:rsid w:val="0087135C"/>
    <w:rsid w:val="00871827"/>
    <w:rsid w:val="00871958"/>
    <w:rsid w:val="00872227"/>
    <w:rsid w:val="00872FE2"/>
    <w:rsid w:val="0087351C"/>
    <w:rsid w:val="00873583"/>
    <w:rsid w:val="00873B0A"/>
    <w:rsid w:val="00873C85"/>
    <w:rsid w:val="00874346"/>
    <w:rsid w:val="00874934"/>
    <w:rsid w:val="008749A4"/>
    <w:rsid w:val="00874BA7"/>
    <w:rsid w:val="00874F30"/>
    <w:rsid w:val="00875007"/>
    <w:rsid w:val="0087520F"/>
    <w:rsid w:val="0087591E"/>
    <w:rsid w:val="00876055"/>
    <w:rsid w:val="0087605A"/>
    <w:rsid w:val="00876527"/>
    <w:rsid w:val="00877C13"/>
    <w:rsid w:val="00877C34"/>
    <w:rsid w:val="00877F27"/>
    <w:rsid w:val="00880C0C"/>
    <w:rsid w:val="00880F84"/>
    <w:rsid w:val="00881E69"/>
    <w:rsid w:val="008820F6"/>
    <w:rsid w:val="00882901"/>
    <w:rsid w:val="00882B0B"/>
    <w:rsid w:val="0088355D"/>
    <w:rsid w:val="00883E88"/>
    <w:rsid w:val="0088444E"/>
    <w:rsid w:val="0088484B"/>
    <w:rsid w:val="00884CC5"/>
    <w:rsid w:val="008850AC"/>
    <w:rsid w:val="00886849"/>
    <w:rsid w:val="00886BAE"/>
    <w:rsid w:val="0088785B"/>
    <w:rsid w:val="008878DD"/>
    <w:rsid w:val="00887982"/>
    <w:rsid w:val="00887F4D"/>
    <w:rsid w:val="00887F7D"/>
    <w:rsid w:val="00890174"/>
    <w:rsid w:val="0089047A"/>
    <w:rsid w:val="008907A1"/>
    <w:rsid w:val="00891459"/>
    <w:rsid w:val="00892BEE"/>
    <w:rsid w:val="00892C7A"/>
    <w:rsid w:val="00892FC8"/>
    <w:rsid w:val="00893036"/>
    <w:rsid w:val="008936EF"/>
    <w:rsid w:val="008938F1"/>
    <w:rsid w:val="00894033"/>
    <w:rsid w:val="0089407C"/>
    <w:rsid w:val="0089429E"/>
    <w:rsid w:val="00894B30"/>
    <w:rsid w:val="00895106"/>
    <w:rsid w:val="008960AC"/>
    <w:rsid w:val="00897455"/>
    <w:rsid w:val="008A017E"/>
    <w:rsid w:val="008A1354"/>
    <w:rsid w:val="008A1985"/>
    <w:rsid w:val="008A1B6E"/>
    <w:rsid w:val="008A1E0A"/>
    <w:rsid w:val="008A27FC"/>
    <w:rsid w:val="008A2E19"/>
    <w:rsid w:val="008A30F9"/>
    <w:rsid w:val="008A333F"/>
    <w:rsid w:val="008A3768"/>
    <w:rsid w:val="008A37C2"/>
    <w:rsid w:val="008A3884"/>
    <w:rsid w:val="008A3FC1"/>
    <w:rsid w:val="008A526C"/>
    <w:rsid w:val="008A5554"/>
    <w:rsid w:val="008A7A93"/>
    <w:rsid w:val="008A7B38"/>
    <w:rsid w:val="008A7FAB"/>
    <w:rsid w:val="008B1232"/>
    <w:rsid w:val="008B17D6"/>
    <w:rsid w:val="008B1B96"/>
    <w:rsid w:val="008B2554"/>
    <w:rsid w:val="008B2591"/>
    <w:rsid w:val="008B2CA2"/>
    <w:rsid w:val="008B39D1"/>
    <w:rsid w:val="008B3A4A"/>
    <w:rsid w:val="008B3DB9"/>
    <w:rsid w:val="008B4650"/>
    <w:rsid w:val="008B57A5"/>
    <w:rsid w:val="008B5D19"/>
    <w:rsid w:val="008B5FE2"/>
    <w:rsid w:val="008B6F4D"/>
    <w:rsid w:val="008B70C6"/>
    <w:rsid w:val="008B7470"/>
    <w:rsid w:val="008C0100"/>
    <w:rsid w:val="008C0CAA"/>
    <w:rsid w:val="008C1031"/>
    <w:rsid w:val="008C1551"/>
    <w:rsid w:val="008C1AFD"/>
    <w:rsid w:val="008C203E"/>
    <w:rsid w:val="008C23C7"/>
    <w:rsid w:val="008C282D"/>
    <w:rsid w:val="008C2B51"/>
    <w:rsid w:val="008C2B78"/>
    <w:rsid w:val="008C3B79"/>
    <w:rsid w:val="008C3E83"/>
    <w:rsid w:val="008C40D6"/>
    <w:rsid w:val="008C4AE5"/>
    <w:rsid w:val="008C594D"/>
    <w:rsid w:val="008C5B19"/>
    <w:rsid w:val="008C670F"/>
    <w:rsid w:val="008C720A"/>
    <w:rsid w:val="008C726E"/>
    <w:rsid w:val="008C74AF"/>
    <w:rsid w:val="008C7A91"/>
    <w:rsid w:val="008D0090"/>
    <w:rsid w:val="008D044B"/>
    <w:rsid w:val="008D04C6"/>
    <w:rsid w:val="008D067E"/>
    <w:rsid w:val="008D0C38"/>
    <w:rsid w:val="008D0E7C"/>
    <w:rsid w:val="008D0E9A"/>
    <w:rsid w:val="008D2572"/>
    <w:rsid w:val="008D2579"/>
    <w:rsid w:val="008D2957"/>
    <w:rsid w:val="008D2C1F"/>
    <w:rsid w:val="008D306F"/>
    <w:rsid w:val="008D3726"/>
    <w:rsid w:val="008D3D8A"/>
    <w:rsid w:val="008D4A56"/>
    <w:rsid w:val="008D4A9D"/>
    <w:rsid w:val="008D538C"/>
    <w:rsid w:val="008D5496"/>
    <w:rsid w:val="008D59E0"/>
    <w:rsid w:val="008D6801"/>
    <w:rsid w:val="008D6ADC"/>
    <w:rsid w:val="008D772D"/>
    <w:rsid w:val="008D7820"/>
    <w:rsid w:val="008D7D18"/>
    <w:rsid w:val="008E0D69"/>
    <w:rsid w:val="008E0F92"/>
    <w:rsid w:val="008E13F7"/>
    <w:rsid w:val="008E1B90"/>
    <w:rsid w:val="008E1CA2"/>
    <w:rsid w:val="008E2345"/>
    <w:rsid w:val="008E2638"/>
    <w:rsid w:val="008E3754"/>
    <w:rsid w:val="008E45EA"/>
    <w:rsid w:val="008E49D2"/>
    <w:rsid w:val="008E522E"/>
    <w:rsid w:val="008E6D5D"/>
    <w:rsid w:val="008E7CE1"/>
    <w:rsid w:val="008E7D28"/>
    <w:rsid w:val="008F0E5C"/>
    <w:rsid w:val="008F11E3"/>
    <w:rsid w:val="008F1B8E"/>
    <w:rsid w:val="008F2973"/>
    <w:rsid w:val="008F37CE"/>
    <w:rsid w:val="008F3C25"/>
    <w:rsid w:val="008F5DDD"/>
    <w:rsid w:val="008F62AF"/>
    <w:rsid w:val="008F6CEF"/>
    <w:rsid w:val="008F70C2"/>
    <w:rsid w:val="008F73EF"/>
    <w:rsid w:val="008F7488"/>
    <w:rsid w:val="008F7C74"/>
    <w:rsid w:val="009001D4"/>
    <w:rsid w:val="009002DD"/>
    <w:rsid w:val="00900366"/>
    <w:rsid w:val="00900BF1"/>
    <w:rsid w:val="0090174A"/>
    <w:rsid w:val="009019F3"/>
    <w:rsid w:val="00901BE9"/>
    <w:rsid w:val="00901C1A"/>
    <w:rsid w:val="009021EB"/>
    <w:rsid w:val="009022FC"/>
    <w:rsid w:val="00902C98"/>
    <w:rsid w:val="0090357E"/>
    <w:rsid w:val="0090383E"/>
    <w:rsid w:val="009049DF"/>
    <w:rsid w:val="00905136"/>
    <w:rsid w:val="0090589D"/>
    <w:rsid w:val="00905AE1"/>
    <w:rsid w:val="00905AFC"/>
    <w:rsid w:val="00905E62"/>
    <w:rsid w:val="00906076"/>
    <w:rsid w:val="00906628"/>
    <w:rsid w:val="00906D0F"/>
    <w:rsid w:val="009072CD"/>
    <w:rsid w:val="0090785E"/>
    <w:rsid w:val="00907915"/>
    <w:rsid w:val="00907AE0"/>
    <w:rsid w:val="00907D20"/>
    <w:rsid w:val="00910FCE"/>
    <w:rsid w:val="009114EF"/>
    <w:rsid w:val="00911554"/>
    <w:rsid w:val="00911754"/>
    <w:rsid w:val="00912436"/>
    <w:rsid w:val="00912C73"/>
    <w:rsid w:val="00913530"/>
    <w:rsid w:val="00914259"/>
    <w:rsid w:val="00914CE6"/>
    <w:rsid w:val="009154E3"/>
    <w:rsid w:val="00915B87"/>
    <w:rsid w:val="00915C84"/>
    <w:rsid w:val="009165E9"/>
    <w:rsid w:val="00916945"/>
    <w:rsid w:val="00917169"/>
    <w:rsid w:val="009174CB"/>
    <w:rsid w:val="00917783"/>
    <w:rsid w:val="0091791F"/>
    <w:rsid w:val="00920200"/>
    <w:rsid w:val="00920DF9"/>
    <w:rsid w:val="00921A1C"/>
    <w:rsid w:val="00921EBA"/>
    <w:rsid w:val="00922CB1"/>
    <w:rsid w:val="009242FA"/>
    <w:rsid w:val="00924660"/>
    <w:rsid w:val="009260D9"/>
    <w:rsid w:val="00926474"/>
    <w:rsid w:val="00926533"/>
    <w:rsid w:val="0092695D"/>
    <w:rsid w:val="00926E2E"/>
    <w:rsid w:val="00926F61"/>
    <w:rsid w:val="009302B3"/>
    <w:rsid w:val="00930460"/>
    <w:rsid w:val="009306E2"/>
    <w:rsid w:val="009313E4"/>
    <w:rsid w:val="00931518"/>
    <w:rsid w:val="0093175F"/>
    <w:rsid w:val="00931979"/>
    <w:rsid w:val="00932010"/>
    <w:rsid w:val="009324F3"/>
    <w:rsid w:val="009325B2"/>
    <w:rsid w:val="00932F04"/>
    <w:rsid w:val="00934105"/>
    <w:rsid w:val="00935676"/>
    <w:rsid w:val="009359A9"/>
    <w:rsid w:val="00936100"/>
    <w:rsid w:val="00936B06"/>
    <w:rsid w:val="00937B03"/>
    <w:rsid w:val="00941229"/>
    <w:rsid w:val="00941BA3"/>
    <w:rsid w:val="00942EEE"/>
    <w:rsid w:val="00942F98"/>
    <w:rsid w:val="009431DC"/>
    <w:rsid w:val="009444AB"/>
    <w:rsid w:val="00944F34"/>
    <w:rsid w:val="00945BDD"/>
    <w:rsid w:val="00947474"/>
    <w:rsid w:val="00947912"/>
    <w:rsid w:val="009479F3"/>
    <w:rsid w:val="009501B8"/>
    <w:rsid w:val="00950487"/>
    <w:rsid w:val="00950786"/>
    <w:rsid w:val="00950806"/>
    <w:rsid w:val="009508E4"/>
    <w:rsid w:val="00950B73"/>
    <w:rsid w:val="00950FDA"/>
    <w:rsid w:val="0095118C"/>
    <w:rsid w:val="009511F0"/>
    <w:rsid w:val="00951674"/>
    <w:rsid w:val="00951CAF"/>
    <w:rsid w:val="00952330"/>
    <w:rsid w:val="00952A0F"/>
    <w:rsid w:val="00952E4C"/>
    <w:rsid w:val="0095361C"/>
    <w:rsid w:val="00953893"/>
    <w:rsid w:val="00953A3F"/>
    <w:rsid w:val="009548A3"/>
    <w:rsid w:val="00954AC1"/>
    <w:rsid w:val="0095537C"/>
    <w:rsid w:val="00956002"/>
    <w:rsid w:val="009564A5"/>
    <w:rsid w:val="00956531"/>
    <w:rsid w:val="00956BC0"/>
    <w:rsid w:val="00956C5F"/>
    <w:rsid w:val="00957112"/>
    <w:rsid w:val="00957DE2"/>
    <w:rsid w:val="00957E5D"/>
    <w:rsid w:val="009601AE"/>
    <w:rsid w:val="00960860"/>
    <w:rsid w:val="00960C8E"/>
    <w:rsid w:val="00960CAC"/>
    <w:rsid w:val="00960D97"/>
    <w:rsid w:val="00961071"/>
    <w:rsid w:val="0096124F"/>
    <w:rsid w:val="009617A2"/>
    <w:rsid w:val="00961F42"/>
    <w:rsid w:val="00961FB6"/>
    <w:rsid w:val="0096262B"/>
    <w:rsid w:val="0096267E"/>
    <w:rsid w:val="00963A0E"/>
    <w:rsid w:val="00963A2A"/>
    <w:rsid w:val="009649C5"/>
    <w:rsid w:val="00964BDA"/>
    <w:rsid w:val="009651E7"/>
    <w:rsid w:val="00965BC2"/>
    <w:rsid w:val="00965CC4"/>
    <w:rsid w:val="00965EB0"/>
    <w:rsid w:val="0096601F"/>
    <w:rsid w:val="009669E7"/>
    <w:rsid w:val="00966DCB"/>
    <w:rsid w:val="00966E6B"/>
    <w:rsid w:val="00966EF1"/>
    <w:rsid w:val="00966FA5"/>
    <w:rsid w:val="00967410"/>
    <w:rsid w:val="009700D6"/>
    <w:rsid w:val="009706BB"/>
    <w:rsid w:val="009713A8"/>
    <w:rsid w:val="00972B07"/>
    <w:rsid w:val="00972F76"/>
    <w:rsid w:val="00973506"/>
    <w:rsid w:val="00973B5B"/>
    <w:rsid w:val="0097487E"/>
    <w:rsid w:val="00974FE9"/>
    <w:rsid w:val="0097528A"/>
    <w:rsid w:val="00975A7F"/>
    <w:rsid w:val="00975C13"/>
    <w:rsid w:val="00977723"/>
    <w:rsid w:val="00981386"/>
    <w:rsid w:val="009814AF"/>
    <w:rsid w:val="009819F9"/>
    <w:rsid w:val="00981F11"/>
    <w:rsid w:val="009822A5"/>
    <w:rsid w:val="0098241F"/>
    <w:rsid w:val="00982587"/>
    <w:rsid w:val="00982B48"/>
    <w:rsid w:val="00983232"/>
    <w:rsid w:val="00983736"/>
    <w:rsid w:val="009841ED"/>
    <w:rsid w:val="009848D8"/>
    <w:rsid w:val="00984B87"/>
    <w:rsid w:val="0098587E"/>
    <w:rsid w:val="0098612D"/>
    <w:rsid w:val="0098706E"/>
    <w:rsid w:val="00987747"/>
    <w:rsid w:val="00987996"/>
    <w:rsid w:val="009900B8"/>
    <w:rsid w:val="00990276"/>
    <w:rsid w:val="00990E25"/>
    <w:rsid w:val="009916BF"/>
    <w:rsid w:val="009916EE"/>
    <w:rsid w:val="009918BC"/>
    <w:rsid w:val="00991F21"/>
    <w:rsid w:val="009921A5"/>
    <w:rsid w:val="0099245F"/>
    <w:rsid w:val="00992AAB"/>
    <w:rsid w:val="009930A2"/>
    <w:rsid w:val="009936A2"/>
    <w:rsid w:val="00994803"/>
    <w:rsid w:val="00994EA2"/>
    <w:rsid w:val="00995397"/>
    <w:rsid w:val="009955A5"/>
    <w:rsid w:val="00995958"/>
    <w:rsid w:val="00995CA3"/>
    <w:rsid w:val="00995FE2"/>
    <w:rsid w:val="00996086"/>
    <w:rsid w:val="0099611B"/>
    <w:rsid w:val="0099681F"/>
    <w:rsid w:val="00996BD2"/>
    <w:rsid w:val="00997209"/>
    <w:rsid w:val="009A0113"/>
    <w:rsid w:val="009A0339"/>
    <w:rsid w:val="009A0D47"/>
    <w:rsid w:val="009A10AF"/>
    <w:rsid w:val="009A2E98"/>
    <w:rsid w:val="009A31F4"/>
    <w:rsid w:val="009A3433"/>
    <w:rsid w:val="009A358A"/>
    <w:rsid w:val="009A3815"/>
    <w:rsid w:val="009A3A01"/>
    <w:rsid w:val="009A3D6A"/>
    <w:rsid w:val="009A462B"/>
    <w:rsid w:val="009A53CA"/>
    <w:rsid w:val="009A67DB"/>
    <w:rsid w:val="009A6FA0"/>
    <w:rsid w:val="009A6FDD"/>
    <w:rsid w:val="009A75CD"/>
    <w:rsid w:val="009B0044"/>
    <w:rsid w:val="009B04A2"/>
    <w:rsid w:val="009B0DE8"/>
    <w:rsid w:val="009B0E69"/>
    <w:rsid w:val="009B2259"/>
    <w:rsid w:val="009B27BF"/>
    <w:rsid w:val="009B2F75"/>
    <w:rsid w:val="009B32C9"/>
    <w:rsid w:val="009B3995"/>
    <w:rsid w:val="009B3A29"/>
    <w:rsid w:val="009B3CBC"/>
    <w:rsid w:val="009B40B4"/>
    <w:rsid w:val="009B5078"/>
    <w:rsid w:val="009B537C"/>
    <w:rsid w:val="009B5D9F"/>
    <w:rsid w:val="009B5FAD"/>
    <w:rsid w:val="009B6254"/>
    <w:rsid w:val="009B6AD3"/>
    <w:rsid w:val="009B6EE6"/>
    <w:rsid w:val="009B71B5"/>
    <w:rsid w:val="009B78F5"/>
    <w:rsid w:val="009B7C98"/>
    <w:rsid w:val="009B7D28"/>
    <w:rsid w:val="009C0CA2"/>
    <w:rsid w:val="009C0E33"/>
    <w:rsid w:val="009C35EE"/>
    <w:rsid w:val="009C3E8B"/>
    <w:rsid w:val="009C4432"/>
    <w:rsid w:val="009C444A"/>
    <w:rsid w:val="009C53F3"/>
    <w:rsid w:val="009C580B"/>
    <w:rsid w:val="009C5BCF"/>
    <w:rsid w:val="009C6DEE"/>
    <w:rsid w:val="009D0F85"/>
    <w:rsid w:val="009D16B0"/>
    <w:rsid w:val="009D2270"/>
    <w:rsid w:val="009D2AA5"/>
    <w:rsid w:val="009D2F9F"/>
    <w:rsid w:val="009D3243"/>
    <w:rsid w:val="009D3574"/>
    <w:rsid w:val="009D362D"/>
    <w:rsid w:val="009D3AB4"/>
    <w:rsid w:val="009D4391"/>
    <w:rsid w:val="009D4964"/>
    <w:rsid w:val="009D5140"/>
    <w:rsid w:val="009D6C0C"/>
    <w:rsid w:val="009D6DAE"/>
    <w:rsid w:val="009D755D"/>
    <w:rsid w:val="009E0AAE"/>
    <w:rsid w:val="009E1337"/>
    <w:rsid w:val="009E1BB6"/>
    <w:rsid w:val="009E1C8B"/>
    <w:rsid w:val="009E1DBB"/>
    <w:rsid w:val="009E2005"/>
    <w:rsid w:val="009E255A"/>
    <w:rsid w:val="009E2B13"/>
    <w:rsid w:val="009E321E"/>
    <w:rsid w:val="009E3391"/>
    <w:rsid w:val="009E3BE8"/>
    <w:rsid w:val="009E3E15"/>
    <w:rsid w:val="009E3E1E"/>
    <w:rsid w:val="009E41DC"/>
    <w:rsid w:val="009E4350"/>
    <w:rsid w:val="009E4B2F"/>
    <w:rsid w:val="009E5784"/>
    <w:rsid w:val="009E5988"/>
    <w:rsid w:val="009E6014"/>
    <w:rsid w:val="009E6032"/>
    <w:rsid w:val="009E6455"/>
    <w:rsid w:val="009E64F5"/>
    <w:rsid w:val="009E69E0"/>
    <w:rsid w:val="009E6B45"/>
    <w:rsid w:val="009E6B65"/>
    <w:rsid w:val="009E756A"/>
    <w:rsid w:val="009E78E7"/>
    <w:rsid w:val="009E7BE3"/>
    <w:rsid w:val="009E7F24"/>
    <w:rsid w:val="009F11ED"/>
    <w:rsid w:val="009F1441"/>
    <w:rsid w:val="009F1C39"/>
    <w:rsid w:val="009F2060"/>
    <w:rsid w:val="009F42EA"/>
    <w:rsid w:val="009F46E6"/>
    <w:rsid w:val="009F4753"/>
    <w:rsid w:val="009F4971"/>
    <w:rsid w:val="009F4AE8"/>
    <w:rsid w:val="009F58EE"/>
    <w:rsid w:val="009F6023"/>
    <w:rsid w:val="009F6475"/>
    <w:rsid w:val="009F6528"/>
    <w:rsid w:val="009F7902"/>
    <w:rsid w:val="009F7A85"/>
    <w:rsid w:val="00A002D1"/>
    <w:rsid w:val="00A007D5"/>
    <w:rsid w:val="00A012D4"/>
    <w:rsid w:val="00A0131D"/>
    <w:rsid w:val="00A01555"/>
    <w:rsid w:val="00A015A4"/>
    <w:rsid w:val="00A01DA4"/>
    <w:rsid w:val="00A02933"/>
    <w:rsid w:val="00A02FAE"/>
    <w:rsid w:val="00A032C5"/>
    <w:rsid w:val="00A0369B"/>
    <w:rsid w:val="00A03EA6"/>
    <w:rsid w:val="00A0407C"/>
    <w:rsid w:val="00A0430D"/>
    <w:rsid w:val="00A0457C"/>
    <w:rsid w:val="00A04E4C"/>
    <w:rsid w:val="00A056B9"/>
    <w:rsid w:val="00A058B4"/>
    <w:rsid w:val="00A05E59"/>
    <w:rsid w:val="00A06F02"/>
    <w:rsid w:val="00A1007F"/>
    <w:rsid w:val="00A102C5"/>
    <w:rsid w:val="00A10585"/>
    <w:rsid w:val="00A10FE8"/>
    <w:rsid w:val="00A112DD"/>
    <w:rsid w:val="00A138A1"/>
    <w:rsid w:val="00A13C8F"/>
    <w:rsid w:val="00A1415C"/>
    <w:rsid w:val="00A141C9"/>
    <w:rsid w:val="00A142C3"/>
    <w:rsid w:val="00A14517"/>
    <w:rsid w:val="00A147B6"/>
    <w:rsid w:val="00A170E6"/>
    <w:rsid w:val="00A173A1"/>
    <w:rsid w:val="00A17CB9"/>
    <w:rsid w:val="00A20147"/>
    <w:rsid w:val="00A20454"/>
    <w:rsid w:val="00A20F5E"/>
    <w:rsid w:val="00A21288"/>
    <w:rsid w:val="00A22395"/>
    <w:rsid w:val="00A22610"/>
    <w:rsid w:val="00A22887"/>
    <w:rsid w:val="00A22A95"/>
    <w:rsid w:val="00A22C6A"/>
    <w:rsid w:val="00A2325E"/>
    <w:rsid w:val="00A24476"/>
    <w:rsid w:val="00A245AB"/>
    <w:rsid w:val="00A24AF3"/>
    <w:rsid w:val="00A24E42"/>
    <w:rsid w:val="00A254E3"/>
    <w:rsid w:val="00A26E77"/>
    <w:rsid w:val="00A27053"/>
    <w:rsid w:val="00A2732E"/>
    <w:rsid w:val="00A274A1"/>
    <w:rsid w:val="00A320AB"/>
    <w:rsid w:val="00A324AA"/>
    <w:rsid w:val="00A330B1"/>
    <w:rsid w:val="00A34462"/>
    <w:rsid w:val="00A345AD"/>
    <w:rsid w:val="00A3682E"/>
    <w:rsid w:val="00A36C94"/>
    <w:rsid w:val="00A37824"/>
    <w:rsid w:val="00A37861"/>
    <w:rsid w:val="00A400E6"/>
    <w:rsid w:val="00A401F2"/>
    <w:rsid w:val="00A40694"/>
    <w:rsid w:val="00A40A1E"/>
    <w:rsid w:val="00A41EB8"/>
    <w:rsid w:val="00A42362"/>
    <w:rsid w:val="00A4272A"/>
    <w:rsid w:val="00A4341C"/>
    <w:rsid w:val="00A439E4"/>
    <w:rsid w:val="00A43B6B"/>
    <w:rsid w:val="00A4416F"/>
    <w:rsid w:val="00A4428C"/>
    <w:rsid w:val="00A44DBF"/>
    <w:rsid w:val="00A45EA9"/>
    <w:rsid w:val="00A4604C"/>
    <w:rsid w:val="00A471C4"/>
    <w:rsid w:val="00A472B6"/>
    <w:rsid w:val="00A47471"/>
    <w:rsid w:val="00A47BC3"/>
    <w:rsid w:val="00A47CDB"/>
    <w:rsid w:val="00A50402"/>
    <w:rsid w:val="00A505A8"/>
    <w:rsid w:val="00A517E1"/>
    <w:rsid w:val="00A51C7F"/>
    <w:rsid w:val="00A51CBB"/>
    <w:rsid w:val="00A51DE2"/>
    <w:rsid w:val="00A522B5"/>
    <w:rsid w:val="00A52351"/>
    <w:rsid w:val="00A52B64"/>
    <w:rsid w:val="00A53DC7"/>
    <w:rsid w:val="00A549A0"/>
    <w:rsid w:val="00A54D77"/>
    <w:rsid w:val="00A550B2"/>
    <w:rsid w:val="00A55888"/>
    <w:rsid w:val="00A56249"/>
    <w:rsid w:val="00A575EB"/>
    <w:rsid w:val="00A57B7F"/>
    <w:rsid w:val="00A606CC"/>
    <w:rsid w:val="00A60805"/>
    <w:rsid w:val="00A60E4A"/>
    <w:rsid w:val="00A61D4E"/>
    <w:rsid w:val="00A61EBE"/>
    <w:rsid w:val="00A6220A"/>
    <w:rsid w:val="00A6230D"/>
    <w:rsid w:val="00A62725"/>
    <w:rsid w:val="00A62C89"/>
    <w:rsid w:val="00A62CC8"/>
    <w:rsid w:val="00A63348"/>
    <w:rsid w:val="00A64E2C"/>
    <w:rsid w:val="00A6518B"/>
    <w:rsid w:val="00A65876"/>
    <w:rsid w:val="00A66185"/>
    <w:rsid w:val="00A6694D"/>
    <w:rsid w:val="00A66973"/>
    <w:rsid w:val="00A66B8B"/>
    <w:rsid w:val="00A66BB7"/>
    <w:rsid w:val="00A67B46"/>
    <w:rsid w:val="00A70239"/>
    <w:rsid w:val="00A70778"/>
    <w:rsid w:val="00A70B9D"/>
    <w:rsid w:val="00A70C61"/>
    <w:rsid w:val="00A7122C"/>
    <w:rsid w:val="00A724C6"/>
    <w:rsid w:val="00A729DD"/>
    <w:rsid w:val="00A73279"/>
    <w:rsid w:val="00A7353F"/>
    <w:rsid w:val="00A739F6"/>
    <w:rsid w:val="00A74420"/>
    <w:rsid w:val="00A74528"/>
    <w:rsid w:val="00A745BA"/>
    <w:rsid w:val="00A753DC"/>
    <w:rsid w:val="00A808AC"/>
    <w:rsid w:val="00A80A2D"/>
    <w:rsid w:val="00A811D5"/>
    <w:rsid w:val="00A81217"/>
    <w:rsid w:val="00A81B70"/>
    <w:rsid w:val="00A81BBF"/>
    <w:rsid w:val="00A82399"/>
    <w:rsid w:val="00A823B8"/>
    <w:rsid w:val="00A82911"/>
    <w:rsid w:val="00A82AF2"/>
    <w:rsid w:val="00A838F3"/>
    <w:rsid w:val="00A83AB9"/>
    <w:rsid w:val="00A83F0B"/>
    <w:rsid w:val="00A8417C"/>
    <w:rsid w:val="00A846A6"/>
    <w:rsid w:val="00A8494D"/>
    <w:rsid w:val="00A84C36"/>
    <w:rsid w:val="00A856B0"/>
    <w:rsid w:val="00A85900"/>
    <w:rsid w:val="00A85AF8"/>
    <w:rsid w:val="00A85F02"/>
    <w:rsid w:val="00A866FF"/>
    <w:rsid w:val="00A870C8"/>
    <w:rsid w:val="00A8725D"/>
    <w:rsid w:val="00A90B66"/>
    <w:rsid w:val="00A91550"/>
    <w:rsid w:val="00A92954"/>
    <w:rsid w:val="00A93413"/>
    <w:rsid w:val="00A93432"/>
    <w:rsid w:val="00A934CF"/>
    <w:rsid w:val="00A942EB"/>
    <w:rsid w:val="00A94D70"/>
    <w:rsid w:val="00A94FEB"/>
    <w:rsid w:val="00A95060"/>
    <w:rsid w:val="00A951A5"/>
    <w:rsid w:val="00A9564E"/>
    <w:rsid w:val="00A96DBE"/>
    <w:rsid w:val="00A97024"/>
    <w:rsid w:val="00A97BB9"/>
    <w:rsid w:val="00A97C5C"/>
    <w:rsid w:val="00A97F5C"/>
    <w:rsid w:val="00AA00A9"/>
    <w:rsid w:val="00AA0AA3"/>
    <w:rsid w:val="00AA0B4D"/>
    <w:rsid w:val="00AA1349"/>
    <w:rsid w:val="00AA1FAD"/>
    <w:rsid w:val="00AA2475"/>
    <w:rsid w:val="00AA2B08"/>
    <w:rsid w:val="00AA3500"/>
    <w:rsid w:val="00AA44C2"/>
    <w:rsid w:val="00AA4651"/>
    <w:rsid w:val="00AA4667"/>
    <w:rsid w:val="00AA4B31"/>
    <w:rsid w:val="00AA5421"/>
    <w:rsid w:val="00AA55AB"/>
    <w:rsid w:val="00AA594A"/>
    <w:rsid w:val="00AA5AC5"/>
    <w:rsid w:val="00AA5BE3"/>
    <w:rsid w:val="00AA5F7E"/>
    <w:rsid w:val="00AA61AE"/>
    <w:rsid w:val="00AA670A"/>
    <w:rsid w:val="00AA6D80"/>
    <w:rsid w:val="00AA7187"/>
    <w:rsid w:val="00AA7B63"/>
    <w:rsid w:val="00AB0033"/>
    <w:rsid w:val="00AB0163"/>
    <w:rsid w:val="00AB01AF"/>
    <w:rsid w:val="00AB1227"/>
    <w:rsid w:val="00AB1251"/>
    <w:rsid w:val="00AB1512"/>
    <w:rsid w:val="00AB2725"/>
    <w:rsid w:val="00AB2C25"/>
    <w:rsid w:val="00AB2CFD"/>
    <w:rsid w:val="00AB343E"/>
    <w:rsid w:val="00AB3495"/>
    <w:rsid w:val="00AB42CE"/>
    <w:rsid w:val="00AB4A80"/>
    <w:rsid w:val="00AB51F6"/>
    <w:rsid w:val="00AB5E13"/>
    <w:rsid w:val="00AB61F4"/>
    <w:rsid w:val="00AB6B36"/>
    <w:rsid w:val="00AB6BCC"/>
    <w:rsid w:val="00AB6C9F"/>
    <w:rsid w:val="00AB6D0F"/>
    <w:rsid w:val="00AB73CB"/>
    <w:rsid w:val="00AB749B"/>
    <w:rsid w:val="00AB79C6"/>
    <w:rsid w:val="00AB7CC3"/>
    <w:rsid w:val="00AC0605"/>
    <w:rsid w:val="00AC0E5E"/>
    <w:rsid w:val="00AC140C"/>
    <w:rsid w:val="00AC147F"/>
    <w:rsid w:val="00AC1F96"/>
    <w:rsid w:val="00AC211E"/>
    <w:rsid w:val="00AC24FC"/>
    <w:rsid w:val="00AC2B3E"/>
    <w:rsid w:val="00AC2D6F"/>
    <w:rsid w:val="00AC323D"/>
    <w:rsid w:val="00AC3315"/>
    <w:rsid w:val="00AC3EA4"/>
    <w:rsid w:val="00AC430A"/>
    <w:rsid w:val="00AC462B"/>
    <w:rsid w:val="00AC4BD8"/>
    <w:rsid w:val="00AC4F39"/>
    <w:rsid w:val="00AC55A6"/>
    <w:rsid w:val="00AC5B08"/>
    <w:rsid w:val="00AC5DF4"/>
    <w:rsid w:val="00AC6025"/>
    <w:rsid w:val="00AC6481"/>
    <w:rsid w:val="00AC75FD"/>
    <w:rsid w:val="00AC7C33"/>
    <w:rsid w:val="00AD0C2B"/>
    <w:rsid w:val="00AD0F9C"/>
    <w:rsid w:val="00AD10FB"/>
    <w:rsid w:val="00AD1452"/>
    <w:rsid w:val="00AD1597"/>
    <w:rsid w:val="00AD1B07"/>
    <w:rsid w:val="00AD1DB0"/>
    <w:rsid w:val="00AD2892"/>
    <w:rsid w:val="00AD28B3"/>
    <w:rsid w:val="00AD2F62"/>
    <w:rsid w:val="00AD31F8"/>
    <w:rsid w:val="00AD355C"/>
    <w:rsid w:val="00AD37CD"/>
    <w:rsid w:val="00AD3F43"/>
    <w:rsid w:val="00AD4E78"/>
    <w:rsid w:val="00AD550A"/>
    <w:rsid w:val="00AD6C61"/>
    <w:rsid w:val="00AD709E"/>
    <w:rsid w:val="00AD748C"/>
    <w:rsid w:val="00AD7C06"/>
    <w:rsid w:val="00AE00C0"/>
    <w:rsid w:val="00AE03D9"/>
    <w:rsid w:val="00AE0E74"/>
    <w:rsid w:val="00AE19BD"/>
    <w:rsid w:val="00AE214C"/>
    <w:rsid w:val="00AE25F0"/>
    <w:rsid w:val="00AE2863"/>
    <w:rsid w:val="00AE3D10"/>
    <w:rsid w:val="00AE45A2"/>
    <w:rsid w:val="00AE48BB"/>
    <w:rsid w:val="00AE5B2F"/>
    <w:rsid w:val="00AE73BD"/>
    <w:rsid w:val="00AF078F"/>
    <w:rsid w:val="00AF17DD"/>
    <w:rsid w:val="00AF3E63"/>
    <w:rsid w:val="00AF4113"/>
    <w:rsid w:val="00AF4C38"/>
    <w:rsid w:val="00AF50DD"/>
    <w:rsid w:val="00AF664B"/>
    <w:rsid w:val="00AF77C3"/>
    <w:rsid w:val="00B0073F"/>
    <w:rsid w:val="00B00B83"/>
    <w:rsid w:val="00B01444"/>
    <w:rsid w:val="00B019F8"/>
    <w:rsid w:val="00B01B97"/>
    <w:rsid w:val="00B01D85"/>
    <w:rsid w:val="00B01E8A"/>
    <w:rsid w:val="00B02525"/>
    <w:rsid w:val="00B027AF"/>
    <w:rsid w:val="00B02BBB"/>
    <w:rsid w:val="00B03B78"/>
    <w:rsid w:val="00B05520"/>
    <w:rsid w:val="00B0563F"/>
    <w:rsid w:val="00B06057"/>
    <w:rsid w:val="00B07508"/>
    <w:rsid w:val="00B0788A"/>
    <w:rsid w:val="00B07B13"/>
    <w:rsid w:val="00B100B2"/>
    <w:rsid w:val="00B106ED"/>
    <w:rsid w:val="00B1070B"/>
    <w:rsid w:val="00B1084E"/>
    <w:rsid w:val="00B116FD"/>
    <w:rsid w:val="00B13E57"/>
    <w:rsid w:val="00B14392"/>
    <w:rsid w:val="00B154E3"/>
    <w:rsid w:val="00B15AF6"/>
    <w:rsid w:val="00B16606"/>
    <w:rsid w:val="00B16CCD"/>
    <w:rsid w:val="00B16D79"/>
    <w:rsid w:val="00B1737F"/>
    <w:rsid w:val="00B176D3"/>
    <w:rsid w:val="00B20290"/>
    <w:rsid w:val="00B20C35"/>
    <w:rsid w:val="00B20E12"/>
    <w:rsid w:val="00B21D0B"/>
    <w:rsid w:val="00B2222D"/>
    <w:rsid w:val="00B227E0"/>
    <w:rsid w:val="00B22EF6"/>
    <w:rsid w:val="00B23584"/>
    <w:rsid w:val="00B23BE1"/>
    <w:rsid w:val="00B250FF"/>
    <w:rsid w:val="00B25198"/>
    <w:rsid w:val="00B256D4"/>
    <w:rsid w:val="00B25892"/>
    <w:rsid w:val="00B25FB4"/>
    <w:rsid w:val="00B2632D"/>
    <w:rsid w:val="00B26347"/>
    <w:rsid w:val="00B271FC"/>
    <w:rsid w:val="00B273D9"/>
    <w:rsid w:val="00B27A53"/>
    <w:rsid w:val="00B27F30"/>
    <w:rsid w:val="00B302B2"/>
    <w:rsid w:val="00B307BC"/>
    <w:rsid w:val="00B3088B"/>
    <w:rsid w:val="00B30F6C"/>
    <w:rsid w:val="00B318EF"/>
    <w:rsid w:val="00B33297"/>
    <w:rsid w:val="00B335BC"/>
    <w:rsid w:val="00B33CB9"/>
    <w:rsid w:val="00B34893"/>
    <w:rsid w:val="00B36011"/>
    <w:rsid w:val="00B36032"/>
    <w:rsid w:val="00B3638D"/>
    <w:rsid w:val="00B371A8"/>
    <w:rsid w:val="00B3765E"/>
    <w:rsid w:val="00B37770"/>
    <w:rsid w:val="00B37ED2"/>
    <w:rsid w:val="00B37F33"/>
    <w:rsid w:val="00B37F8F"/>
    <w:rsid w:val="00B40349"/>
    <w:rsid w:val="00B405BF"/>
    <w:rsid w:val="00B40ADD"/>
    <w:rsid w:val="00B41071"/>
    <w:rsid w:val="00B419F6"/>
    <w:rsid w:val="00B41DF1"/>
    <w:rsid w:val="00B42900"/>
    <w:rsid w:val="00B4370E"/>
    <w:rsid w:val="00B43A9A"/>
    <w:rsid w:val="00B449E6"/>
    <w:rsid w:val="00B450B3"/>
    <w:rsid w:val="00B45647"/>
    <w:rsid w:val="00B47524"/>
    <w:rsid w:val="00B476B0"/>
    <w:rsid w:val="00B47940"/>
    <w:rsid w:val="00B479C4"/>
    <w:rsid w:val="00B47A3C"/>
    <w:rsid w:val="00B5059A"/>
    <w:rsid w:val="00B50EB5"/>
    <w:rsid w:val="00B520C2"/>
    <w:rsid w:val="00B52B16"/>
    <w:rsid w:val="00B53717"/>
    <w:rsid w:val="00B53D34"/>
    <w:rsid w:val="00B54121"/>
    <w:rsid w:val="00B54E73"/>
    <w:rsid w:val="00B557B0"/>
    <w:rsid w:val="00B56296"/>
    <w:rsid w:val="00B56A04"/>
    <w:rsid w:val="00B5727C"/>
    <w:rsid w:val="00B57285"/>
    <w:rsid w:val="00B574A5"/>
    <w:rsid w:val="00B57546"/>
    <w:rsid w:val="00B57714"/>
    <w:rsid w:val="00B57FD3"/>
    <w:rsid w:val="00B605E9"/>
    <w:rsid w:val="00B60C12"/>
    <w:rsid w:val="00B60FA9"/>
    <w:rsid w:val="00B61661"/>
    <w:rsid w:val="00B619DE"/>
    <w:rsid w:val="00B624AF"/>
    <w:rsid w:val="00B62EF6"/>
    <w:rsid w:val="00B63AEF"/>
    <w:rsid w:val="00B66B9F"/>
    <w:rsid w:val="00B671E3"/>
    <w:rsid w:val="00B671F2"/>
    <w:rsid w:val="00B6727B"/>
    <w:rsid w:val="00B67D03"/>
    <w:rsid w:val="00B702E3"/>
    <w:rsid w:val="00B7040E"/>
    <w:rsid w:val="00B70584"/>
    <w:rsid w:val="00B70A86"/>
    <w:rsid w:val="00B71C6F"/>
    <w:rsid w:val="00B73355"/>
    <w:rsid w:val="00B73E0F"/>
    <w:rsid w:val="00B73F86"/>
    <w:rsid w:val="00B744DE"/>
    <w:rsid w:val="00B746CF"/>
    <w:rsid w:val="00B75B81"/>
    <w:rsid w:val="00B75CD0"/>
    <w:rsid w:val="00B76659"/>
    <w:rsid w:val="00B766D0"/>
    <w:rsid w:val="00B76BD0"/>
    <w:rsid w:val="00B76C17"/>
    <w:rsid w:val="00B76F53"/>
    <w:rsid w:val="00B775B2"/>
    <w:rsid w:val="00B779AB"/>
    <w:rsid w:val="00B8135E"/>
    <w:rsid w:val="00B813A6"/>
    <w:rsid w:val="00B81C00"/>
    <w:rsid w:val="00B81E30"/>
    <w:rsid w:val="00B823FB"/>
    <w:rsid w:val="00B847EB"/>
    <w:rsid w:val="00B84879"/>
    <w:rsid w:val="00B854AA"/>
    <w:rsid w:val="00B86225"/>
    <w:rsid w:val="00B86A72"/>
    <w:rsid w:val="00B86BD8"/>
    <w:rsid w:val="00B872E2"/>
    <w:rsid w:val="00B87BB2"/>
    <w:rsid w:val="00B87F3F"/>
    <w:rsid w:val="00B9042D"/>
    <w:rsid w:val="00B904AE"/>
    <w:rsid w:val="00B91038"/>
    <w:rsid w:val="00B922E6"/>
    <w:rsid w:val="00B92363"/>
    <w:rsid w:val="00B923D4"/>
    <w:rsid w:val="00B92800"/>
    <w:rsid w:val="00B929C9"/>
    <w:rsid w:val="00B92D0B"/>
    <w:rsid w:val="00B930B5"/>
    <w:rsid w:val="00B93493"/>
    <w:rsid w:val="00B93552"/>
    <w:rsid w:val="00B93C18"/>
    <w:rsid w:val="00B94CB0"/>
    <w:rsid w:val="00B954C6"/>
    <w:rsid w:val="00B955C5"/>
    <w:rsid w:val="00B95E3C"/>
    <w:rsid w:val="00B97229"/>
    <w:rsid w:val="00B974CA"/>
    <w:rsid w:val="00BA027C"/>
    <w:rsid w:val="00BA0674"/>
    <w:rsid w:val="00BA0CB4"/>
    <w:rsid w:val="00BA15E5"/>
    <w:rsid w:val="00BA1C0E"/>
    <w:rsid w:val="00BA1DB3"/>
    <w:rsid w:val="00BA20B7"/>
    <w:rsid w:val="00BA2289"/>
    <w:rsid w:val="00BA2B2E"/>
    <w:rsid w:val="00BA3BD4"/>
    <w:rsid w:val="00BA402A"/>
    <w:rsid w:val="00BA4325"/>
    <w:rsid w:val="00BA441D"/>
    <w:rsid w:val="00BA44CE"/>
    <w:rsid w:val="00BA4E6B"/>
    <w:rsid w:val="00BA4EFE"/>
    <w:rsid w:val="00BA4FF3"/>
    <w:rsid w:val="00BA55D8"/>
    <w:rsid w:val="00BA63C1"/>
    <w:rsid w:val="00BA655D"/>
    <w:rsid w:val="00BA67A0"/>
    <w:rsid w:val="00BA6EB2"/>
    <w:rsid w:val="00BB072D"/>
    <w:rsid w:val="00BB09F4"/>
    <w:rsid w:val="00BB25B5"/>
    <w:rsid w:val="00BB2AAE"/>
    <w:rsid w:val="00BB2D54"/>
    <w:rsid w:val="00BB2E8E"/>
    <w:rsid w:val="00BB31D6"/>
    <w:rsid w:val="00BB3593"/>
    <w:rsid w:val="00BB413D"/>
    <w:rsid w:val="00BB44FD"/>
    <w:rsid w:val="00BB4667"/>
    <w:rsid w:val="00BB4BCB"/>
    <w:rsid w:val="00BB5084"/>
    <w:rsid w:val="00BB54E1"/>
    <w:rsid w:val="00BB5FA3"/>
    <w:rsid w:val="00BB62F8"/>
    <w:rsid w:val="00BB69CD"/>
    <w:rsid w:val="00BB6C0E"/>
    <w:rsid w:val="00BB6D26"/>
    <w:rsid w:val="00BB6F86"/>
    <w:rsid w:val="00BB7C2E"/>
    <w:rsid w:val="00BB7EC4"/>
    <w:rsid w:val="00BC0294"/>
    <w:rsid w:val="00BC0674"/>
    <w:rsid w:val="00BC16E5"/>
    <w:rsid w:val="00BC1CAF"/>
    <w:rsid w:val="00BC21CB"/>
    <w:rsid w:val="00BC2BFE"/>
    <w:rsid w:val="00BC3326"/>
    <w:rsid w:val="00BC3BFF"/>
    <w:rsid w:val="00BC40BF"/>
    <w:rsid w:val="00BC4C95"/>
    <w:rsid w:val="00BC5251"/>
    <w:rsid w:val="00BC56E8"/>
    <w:rsid w:val="00BC5FF3"/>
    <w:rsid w:val="00BC6AE2"/>
    <w:rsid w:val="00BC6D69"/>
    <w:rsid w:val="00BC6F1D"/>
    <w:rsid w:val="00BC7074"/>
    <w:rsid w:val="00BC78EB"/>
    <w:rsid w:val="00BD02B6"/>
    <w:rsid w:val="00BD02D1"/>
    <w:rsid w:val="00BD0333"/>
    <w:rsid w:val="00BD0BE6"/>
    <w:rsid w:val="00BD1174"/>
    <w:rsid w:val="00BD1518"/>
    <w:rsid w:val="00BD1704"/>
    <w:rsid w:val="00BD2385"/>
    <w:rsid w:val="00BD2B87"/>
    <w:rsid w:val="00BD3116"/>
    <w:rsid w:val="00BD3882"/>
    <w:rsid w:val="00BD4094"/>
    <w:rsid w:val="00BD4403"/>
    <w:rsid w:val="00BD4762"/>
    <w:rsid w:val="00BD4794"/>
    <w:rsid w:val="00BD5037"/>
    <w:rsid w:val="00BD5933"/>
    <w:rsid w:val="00BD60B3"/>
    <w:rsid w:val="00BD6B63"/>
    <w:rsid w:val="00BD7129"/>
    <w:rsid w:val="00BD7535"/>
    <w:rsid w:val="00BD7CCE"/>
    <w:rsid w:val="00BD7D08"/>
    <w:rsid w:val="00BE11AB"/>
    <w:rsid w:val="00BE126C"/>
    <w:rsid w:val="00BE1806"/>
    <w:rsid w:val="00BE1B98"/>
    <w:rsid w:val="00BE1E90"/>
    <w:rsid w:val="00BE1F92"/>
    <w:rsid w:val="00BE2119"/>
    <w:rsid w:val="00BE3E77"/>
    <w:rsid w:val="00BE3EB6"/>
    <w:rsid w:val="00BE463C"/>
    <w:rsid w:val="00BE482C"/>
    <w:rsid w:val="00BE5A2A"/>
    <w:rsid w:val="00BE5E6F"/>
    <w:rsid w:val="00BE65E0"/>
    <w:rsid w:val="00BE69D0"/>
    <w:rsid w:val="00BE6C71"/>
    <w:rsid w:val="00BE6D26"/>
    <w:rsid w:val="00BE7060"/>
    <w:rsid w:val="00BE7543"/>
    <w:rsid w:val="00BE7A24"/>
    <w:rsid w:val="00BF0E37"/>
    <w:rsid w:val="00BF0F61"/>
    <w:rsid w:val="00BF1527"/>
    <w:rsid w:val="00BF19FF"/>
    <w:rsid w:val="00BF1AF3"/>
    <w:rsid w:val="00BF1F2A"/>
    <w:rsid w:val="00BF21C9"/>
    <w:rsid w:val="00BF23D5"/>
    <w:rsid w:val="00BF3B25"/>
    <w:rsid w:val="00BF3CB5"/>
    <w:rsid w:val="00BF537D"/>
    <w:rsid w:val="00BF5BD7"/>
    <w:rsid w:val="00BF5DBD"/>
    <w:rsid w:val="00BF5F6A"/>
    <w:rsid w:val="00BF6412"/>
    <w:rsid w:val="00BF66D1"/>
    <w:rsid w:val="00BF70AD"/>
    <w:rsid w:val="00BF76A5"/>
    <w:rsid w:val="00C000F7"/>
    <w:rsid w:val="00C002CE"/>
    <w:rsid w:val="00C0070F"/>
    <w:rsid w:val="00C014C6"/>
    <w:rsid w:val="00C01B5B"/>
    <w:rsid w:val="00C01C4D"/>
    <w:rsid w:val="00C02048"/>
    <w:rsid w:val="00C02110"/>
    <w:rsid w:val="00C02606"/>
    <w:rsid w:val="00C02C33"/>
    <w:rsid w:val="00C03A2C"/>
    <w:rsid w:val="00C03BEF"/>
    <w:rsid w:val="00C042AD"/>
    <w:rsid w:val="00C0451A"/>
    <w:rsid w:val="00C045C2"/>
    <w:rsid w:val="00C04713"/>
    <w:rsid w:val="00C058C3"/>
    <w:rsid w:val="00C059C0"/>
    <w:rsid w:val="00C05F66"/>
    <w:rsid w:val="00C06C0C"/>
    <w:rsid w:val="00C07705"/>
    <w:rsid w:val="00C100BA"/>
    <w:rsid w:val="00C104BE"/>
    <w:rsid w:val="00C10ADC"/>
    <w:rsid w:val="00C11A9B"/>
    <w:rsid w:val="00C11ABB"/>
    <w:rsid w:val="00C12A4C"/>
    <w:rsid w:val="00C13126"/>
    <w:rsid w:val="00C1348E"/>
    <w:rsid w:val="00C13AD9"/>
    <w:rsid w:val="00C13D54"/>
    <w:rsid w:val="00C146D6"/>
    <w:rsid w:val="00C1519E"/>
    <w:rsid w:val="00C1592F"/>
    <w:rsid w:val="00C15A1D"/>
    <w:rsid w:val="00C15DAF"/>
    <w:rsid w:val="00C166BA"/>
    <w:rsid w:val="00C16CB4"/>
    <w:rsid w:val="00C16D09"/>
    <w:rsid w:val="00C16E21"/>
    <w:rsid w:val="00C177F4"/>
    <w:rsid w:val="00C2104D"/>
    <w:rsid w:val="00C21383"/>
    <w:rsid w:val="00C2163D"/>
    <w:rsid w:val="00C218B1"/>
    <w:rsid w:val="00C2210E"/>
    <w:rsid w:val="00C23EDF"/>
    <w:rsid w:val="00C24001"/>
    <w:rsid w:val="00C24227"/>
    <w:rsid w:val="00C244A9"/>
    <w:rsid w:val="00C24918"/>
    <w:rsid w:val="00C2505A"/>
    <w:rsid w:val="00C256E2"/>
    <w:rsid w:val="00C25895"/>
    <w:rsid w:val="00C25A05"/>
    <w:rsid w:val="00C25A93"/>
    <w:rsid w:val="00C25CF0"/>
    <w:rsid w:val="00C25F18"/>
    <w:rsid w:val="00C2604C"/>
    <w:rsid w:val="00C260C5"/>
    <w:rsid w:val="00C26EA9"/>
    <w:rsid w:val="00C27801"/>
    <w:rsid w:val="00C27B7B"/>
    <w:rsid w:val="00C27CC0"/>
    <w:rsid w:val="00C30BB7"/>
    <w:rsid w:val="00C30F40"/>
    <w:rsid w:val="00C310D1"/>
    <w:rsid w:val="00C3138B"/>
    <w:rsid w:val="00C317B3"/>
    <w:rsid w:val="00C32857"/>
    <w:rsid w:val="00C32A06"/>
    <w:rsid w:val="00C32C2A"/>
    <w:rsid w:val="00C33680"/>
    <w:rsid w:val="00C336DD"/>
    <w:rsid w:val="00C341EE"/>
    <w:rsid w:val="00C346FC"/>
    <w:rsid w:val="00C34AFD"/>
    <w:rsid w:val="00C3514F"/>
    <w:rsid w:val="00C3539F"/>
    <w:rsid w:val="00C35892"/>
    <w:rsid w:val="00C35A06"/>
    <w:rsid w:val="00C360C0"/>
    <w:rsid w:val="00C367B4"/>
    <w:rsid w:val="00C367D1"/>
    <w:rsid w:val="00C36A89"/>
    <w:rsid w:val="00C36CF4"/>
    <w:rsid w:val="00C36E9E"/>
    <w:rsid w:val="00C370FE"/>
    <w:rsid w:val="00C37671"/>
    <w:rsid w:val="00C37B2D"/>
    <w:rsid w:val="00C40185"/>
    <w:rsid w:val="00C406D8"/>
    <w:rsid w:val="00C4119A"/>
    <w:rsid w:val="00C41482"/>
    <w:rsid w:val="00C41824"/>
    <w:rsid w:val="00C4248D"/>
    <w:rsid w:val="00C4267F"/>
    <w:rsid w:val="00C42CC0"/>
    <w:rsid w:val="00C4345A"/>
    <w:rsid w:val="00C43D47"/>
    <w:rsid w:val="00C44201"/>
    <w:rsid w:val="00C44418"/>
    <w:rsid w:val="00C449FF"/>
    <w:rsid w:val="00C450BF"/>
    <w:rsid w:val="00C458D2"/>
    <w:rsid w:val="00C459D6"/>
    <w:rsid w:val="00C473FE"/>
    <w:rsid w:val="00C479E2"/>
    <w:rsid w:val="00C50339"/>
    <w:rsid w:val="00C50601"/>
    <w:rsid w:val="00C51424"/>
    <w:rsid w:val="00C52DE1"/>
    <w:rsid w:val="00C53B96"/>
    <w:rsid w:val="00C54195"/>
    <w:rsid w:val="00C54B2D"/>
    <w:rsid w:val="00C54E07"/>
    <w:rsid w:val="00C5506D"/>
    <w:rsid w:val="00C55084"/>
    <w:rsid w:val="00C55FC9"/>
    <w:rsid w:val="00C56096"/>
    <w:rsid w:val="00C56388"/>
    <w:rsid w:val="00C576AD"/>
    <w:rsid w:val="00C57EA2"/>
    <w:rsid w:val="00C605FA"/>
    <w:rsid w:val="00C60F0D"/>
    <w:rsid w:val="00C60F83"/>
    <w:rsid w:val="00C61684"/>
    <w:rsid w:val="00C62C86"/>
    <w:rsid w:val="00C62D44"/>
    <w:rsid w:val="00C638DE"/>
    <w:rsid w:val="00C64022"/>
    <w:rsid w:val="00C646B3"/>
    <w:rsid w:val="00C64791"/>
    <w:rsid w:val="00C6497A"/>
    <w:rsid w:val="00C65242"/>
    <w:rsid w:val="00C65642"/>
    <w:rsid w:val="00C65AD4"/>
    <w:rsid w:val="00C66641"/>
    <w:rsid w:val="00C6684D"/>
    <w:rsid w:val="00C67F49"/>
    <w:rsid w:val="00C70144"/>
    <w:rsid w:val="00C704E4"/>
    <w:rsid w:val="00C70569"/>
    <w:rsid w:val="00C70862"/>
    <w:rsid w:val="00C708D8"/>
    <w:rsid w:val="00C71110"/>
    <w:rsid w:val="00C7116E"/>
    <w:rsid w:val="00C71463"/>
    <w:rsid w:val="00C71A26"/>
    <w:rsid w:val="00C71DE7"/>
    <w:rsid w:val="00C72AE9"/>
    <w:rsid w:val="00C7369D"/>
    <w:rsid w:val="00C736D9"/>
    <w:rsid w:val="00C737DA"/>
    <w:rsid w:val="00C739EA"/>
    <w:rsid w:val="00C74788"/>
    <w:rsid w:val="00C7564D"/>
    <w:rsid w:val="00C7565A"/>
    <w:rsid w:val="00C7578A"/>
    <w:rsid w:val="00C75E19"/>
    <w:rsid w:val="00C76DB8"/>
    <w:rsid w:val="00C76ED5"/>
    <w:rsid w:val="00C76F09"/>
    <w:rsid w:val="00C7767E"/>
    <w:rsid w:val="00C77891"/>
    <w:rsid w:val="00C80231"/>
    <w:rsid w:val="00C80260"/>
    <w:rsid w:val="00C804CF"/>
    <w:rsid w:val="00C818D9"/>
    <w:rsid w:val="00C81CB8"/>
    <w:rsid w:val="00C81D3D"/>
    <w:rsid w:val="00C82121"/>
    <w:rsid w:val="00C8240C"/>
    <w:rsid w:val="00C82646"/>
    <w:rsid w:val="00C82BC3"/>
    <w:rsid w:val="00C83054"/>
    <w:rsid w:val="00C8470A"/>
    <w:rsid w:val="00C84ACA"/>
    <w:rsid w:val="00C84E34"/>
    <w:rsid w:val="00C85400"/>
    <w:rsid w:val="00C85758"/>
    <w:rsid w:val="00C85B6E"/>
    <w:rsid w:val="00C85C54"/>
    <w:rsid w:val="00C863AA"/>
    <w:rsid w:val="00C87508"/>
    <w:rsid w:val="00C87869"/>
    <w:rsid w:val="00C90111"/>
    <w:rsid w:val="00C9069C"/>
    <w:rsid w:val="00C9088E"/>
    <w:rsid w:val="00C9194D"/>
    <w:rsid w:val="00C91F89"/>
    <w:rsid w:val="00C92383"/>
    <w:rsid w:val="00C92C1D"/>
    <w:rsid w:val="00C93B24"/>
    <w:rsid w:val="00C93B5E"/>
    <w:rsid w:val="00C943A3"/>
    <w:rsid w:val="00C94D14"/>
    <w:rsid w:val="00C95FA1"/>
    <w:rsid w:val="00C969F5"/>
    <w:rsid w:val="00C9709F"/>
    <w:rsid w:val="00C975E3"/>
    <w:rsid w:val="00CA00C6"/>
    <w:rsid w:val="00CA0421"/>
    <w:rsid w:val="00CA08FF"/>
    <w:rsid w:val="00CA0EA9"/>
    <w:rsid w:val="00CA1CBF"/>
    <w:rsid w:val="00CA2315"/>
    <w:rsid w:val="00CA2343"/>
    <w:rsid w:val="00CA3128"/>
    <w:rsid w:val="00CA314F"/>
    <w:rsid w:val="00CA36F0"/>
    <w:rsid w:val="00CA3894"/>
    <w:rsid w:val="00CA4E4F"/>
    <w:rsid w:val="00CA4F49"/>
    <w:rsid w:val="00CA509E"/>
    <w:rsid w:val="00CA5124"/>
    <w:rsid w:val="00CA5240"/>
    <w:rsid w:val="00CA5552"/>
    <w:rsid w:val="00CA5832"/>
    <w:rsid w:val="00CA5C5B"/>
    <w:rsid w:val="00CA7042"/>
    <w:rsid w:val="00CA72D1"/>
    <w:rsid w:val="00CA7D07"/>
    <w:rsid w:val="00CB0002"/>
    <w:rsid w:val="00CB01BB"/>
    <w:rsid w:val="00CB035E"/>
    <w:rsid w:val="00CB04EA"/>
    <w:rsid w:val="00CB0601"/>
    <w:rsid w:val="00CB0643"/>
    <w:rsid w:val="00CB1933"/>
    <w:rsid w:val="00CB194B"/>
    <w:rsid w:val="00CB1A51"/>
    <w:rsid w:val="00CB1E5B"/>
    <w:rsid w:val="00CB2344"/>
    <w:rsid w:val="00CB24CD"/>
    <w:rsid w:val="00CB2956"/>
    <w:rsid w:val="00CB30B7"/>
    <w:rsid w:val="00CB36B1"/>
    <w:rsid w:val="00CB393B"/>
    <w:rsid w:val="00CB399F"/>
    <w:rsid w:val="00CB42C3"/>
    <w:rsid w:val="00CB4331"/>
    <w:rsid w:val="00CB4629"/>
    <w:rsid w:val="00CB485B"/>
    <w:rsid w:val="00CB48EC"/>
    <w:rsid w:val="00CB4B69"/>
    <w:rsid w:val="00CB4C93"/>
    <w:rsid w:val="00CB4F0C"/>
    <w:rsid w:val="00CB5235"/>
    <w:rsid w:val="00CB52B2"/>
    <w:rsid w:val="00CB5450"/>
    <w:rsid w:val="00CB599D"/>
    <w:rsid w:val="00CB67CF"/>
    <w:rsid w:val="00CC004D"/>
    <w:rsid w:val="00CC04A7"/>
    <w:rsid w:val="00CC0563"/>
    <w:rsid w:val="00CC11F6"/>
    <w:rsid w:val="00CC16A6"/>
    <w:rsid w:val="00CC2B03"/>
    <w:rsid w:val="00CC2B2D"/>
    <w:rsid w:val="00CC2C3D"/>
    <w:rsid w:val="00CC3676"/>
    <w:rsid w:val="00CC3A4A"/>
    <w:rsid w:val="00CC4012"/>
    <w:rsid w:val="00CC4589"/>
    <w:rsid w:val="00CC4ABC"/>
    <w:rsid w:val="00CC4FC0"/>
    <w:rsid w:val="00CC5CAB"/>
    <w:rsid w:val="00CC67E0"/>
    <w:rsid w:val="00CC6F82"/>
    <w:rsid w:val="00CC7012"/>
    <w:rsid w:val="00CC76BC"/>
    <w:rsid w:val="00CC76F0"/>
    <w:rsid w:val="00CD0462"/>
    <w:rsid w:val="00CD0EC9"/>
    <w:rsid w:val="00CD10D9"/>
    <w:rsid w:val="00CD118E"/>
    <w:rsid w:val="00CD1D97"/>
    <w:rsid w:val="00CD1F41"/>
    <w:rsid w:val="00CD2153"/>
    <w:rsid w:val="00CD2527"/>
    <w:rsid w:val="00CD26DE"/>
    <w:rsid w:val="00CD3B7A"/>
    <w:rsid w:val="00CD4193"/>
    <w:rsid w:val="00CD41CF"/>
    <w:rsid w:val="00CD5B1E"/>
    <w:rsid w:val="00CD722D"/>
    <w:rsid w:val="00CD7BBB"/>
    <w:rsid w:val="00CE01FE"/>
    <w:rsid w:val="00CE08CA"/>
    <w:rsid w:val="00CE1C92"/>
    <w:rsid w:val="00CE258F"/>
    <w:rsid w:val="00CE27CE"/>
    <w:rsid w:val="00CE2F09"/>
    <w:rsid w:val="00CE39D7"/>
    <w:rsid w:val="00CE401D"/>
    <w:rsid w:val="00CE46CB"/>
    <w:rsid w:val="00CE512F"/>
    <w:rsid w:val="00CE5921"/>
    <w:rsid w:val="00CE695D"/>
    <w:rsid w:val="00CF0074"/>
    <w:rsid w:val="00CF086B"/>
    <w:rsid w:val="00CF140F"/>
    <w:rsid w:val="00CF151E"/>
    <w:rsid w:val="00CF1F8F"/>
    <w:rsid w:val="00CF2166"/>
    <w:rsid w:val="00CF248A"/>
    <w:rsid w:val="00CF26EF"/>
    <w:rsid w:val="00CF2E2B"/>
    <w:rsid w:val="00CF4016"/>
    <w:rsid w:val="00CF6B95"/>
    <w:rsid w:val="00CF7883"/>
    <w:rsid w:val="00CF7EA1"/>
    <w:rsid w:val="00D0011F"/>
    <w:rsid w:val="00D005BB"/>
    <w:rsid w:val="00D00C47"/>
    <w:rsid w:val="00D00E5F"/>
    <w:rsid w:val="00D010CA"/>
    <w:rsid w:val="00D014CA"/>
    <w:rsid w:val="00D01FF7"/>
    <w:rsid w:val="00D025D6"/>
    <w:rsid w:val="00D027D7"/>
    <w:rsid w:val="00D02E2B"/>
    <w:rsid w:val="00D03206"/>
    <w:rsid w:val="00D04F8A"/>
    <w:rsid w:val="00D05545"/>
    <w:rsid w:val="00D06147"/>
    <w:rsid w:val="00D0634E"/>
    <w:rsid w:val="00D070B9"/>
    <w:rsid w:val="00D07448"/>
    <w:rsid w:val="00D07942"/>
    <w:rsid w:val="00D10AA3"/>
    <w:rsid w:val="00D10B91"/>
    <w:rsid w:val="00D1260A"/>
    <w:rsid w:val="00D12FA7"/>
    <w:rsid w:val="00D14260"/>
    <w:rsid w:val="00D145EF"/>
    <w:rsid w:val="00D14AF7"/>
    <w:rsid w:val="00D14CA3"/>
    <w:rsid w:val="00D1549E"/>
    <w:rsid w:val="00D15A39"/>
    <w:rsid w:val="00D15DF3"/>
    <w:rsid w:val="00D16160"/>
    <w:rsid w:val="00D161D8"/>
    <w:rsid w:val="00D16B96"/>
    <w:rsid w:val="00D16E24"/>
    <w:rsid w:val="00D16F3B"/>
    <w:rsid w:val="00D17196"/>
    <w:rsid w:val="00D209BA"/>
    <w:rsid w:val="00D20A68"/>
    <w:rsid w:val="00D20B44"/>
    <w:rsid w:val="00D213D4"/>
    <w:rsid w:val="00D2162B"/>
    <w:rsid w:val="00D21FE8"/>
    <w:rsid w:val="00D224FC"/>
    <w:rsid w:val="00D22BC1"/>
    <w:rsid w:val="00D22C64"/>
    <w:rsid w:val="00D22D33"/>
    <w:rsid w:val="00D22E90"/>
    <w:rsid w:val="00D23851"/>
    <w:rsid w:val="00D24162"/>
    <w:rsid w:val="00D24AD8"/>
    <w:rsid w:val="00D250BB"/>
    <w:rsid w:val="00D25872"/>
    <w:rsid w:val="00D26DCE"/>
    <w:rsid w:val="00D272C5"/>
    <w:rsid w:val="00D2781F"/>
    <w:rsid w:val="00D30674"/>
    <w:rsid w:val="00D30E56"/>
    <w:rsid w:val="00D3104C"/>
    <w:rsid w:val="00D31305"/>
    <w:rsid w:val="00D3165B"/>
    <w:rsid w:val="00D319F5"/>
    <w:rsid w:val="00D32393"/>
    <w:rsid w:val="00D33FD4"/>
    <w:rsid w:val="00D34408"/>
    <w:rsid w:val="00D34968"/>
    <w:rsid w:val="00D3507F"/>
    <w:rsid w:val="00D36170"/>
    <w:rsid w:val="00D365BA"/>
    <w:rsid w:val="00D370E3"/>
    <w:rsid w:val="00D40A89"/>
    <w:rsid w:val="00D4108B"/>
    <w:rsid w:val="00D41D05"/>
    <w:rsid w:val="00D41EA6"/>
    <w:rsid w:val="00D41EC7"/>
    <w:rsid w:val="00D42A16"/>
    <w:rsid w:val="00D42BA4"/>
    <w:rsid w:val="00D433C3"/>
    <w:rsid w:val="00D4353B"/>
    <w:rsid w:val="00D437CE"/>
    <w:rsid w:val="00D439C0"/>
    <w:rsid w:val="00D43B1B"/>
    <w:rsid w:val="00D43CF0"/>
    <w:rsid w:val="00D43E2D"/>
    <w:rsid w:val="00D44447"/>
    <w:rsid w:val="00D44652"/>
    <w:rsid w:val="00D4468B"/>
    <w:rsid w:val="00D45091"/>
    <w:rsid w:val="00D458B2"/>
    <w:rsid w:val="00D47000"/>
    <w:rsid w:val="00D5075C"/>
    <w:rsid w:val="00D50B1E"/>
    <w:rsid w:val="00D52152"/>
    <w:rsid w:val="00D52CC1"/>
    <w:rsid w:val="00D5319A"/>
    <w:rsid w:val="00D5361F"/>
    <w:rsid w:val="00D54045"/>
    <w:rsid w:val="00D54134"/>
    <w:rsid w:val="00D54569"/>
    <w:rsid w:val="00D54587"/>
    <w:rsid w:val="00D55B63"/>
    <w:rsid w:val="00D55CCE"/>
    <w:rsid w:val="00D5681D"/>
    <w:rsid w:val="00D56A4D"/>
    <w:rsid w:val="00D5780E"/>
    <w:rsid w:val="00D60D23"/>
    <w:rsid w:val="00D60EF1"/>
    <w:rsid w:val="00D61A89"/>
    <w:rsid w:val="00D61DB0"/>
    <w:rsid w:val="00D61DB9"/>
    <w:rsid w:val="00D6278E"/>
    <w:rsid w:val="00D62B40"/>
    <w:rsid w:val="00D62B85"/>
    <w:rsid w:val="00D63842"/>
    <w:rsid w:val="00D64F18"/>
    <w:rsid w:val="00D6561B"/>
    <w:rsid w:val="00D6580C"/>
    <w:rsid w:val="00D675A4"/>
    <w:rsid w:val="00D705F5"/>
    <w:rsid w:val="00D70BCC"/>
    <w:rsid w:val="00D70F5C"/>
    <w:rsid w:val="00D7134D"/>
    <w:rsid w:val="00D7153A"/>
    <w:rsid w:val="00D71F4E"/>
    <w:rsid w:val="00D72169"/>
    <w:rsid w:val="00D72703"/>
    <w:rsid w:val="00D72759"/>
    <w:rsid w:val="00D72B38"/>
    <w:rsid w:val="00D73202"/>
    <w:rsid w:val="00D73383"/>
    <w:rsid w:val="00D737EE"/>
    <w:rsid w:val="00D738CA"/>
    <w:rsid w:val="00D73909"/>
    <w:rsid w:val="00D73E80"/>
    <w:rsid w:val="00D73F11"/>
    <w:rsid w:val="00D74E26"/>
    <w:rsid w:val="00D75934"/>
    <w:rsid w:val="00D762AF"/>
    <w:rsid w:val="00D77188"/>
    <w:rsid w:val="00D7786E"/>
    <w:rsid w:val="00D77C11"/>
    <w:rsid w:val="00D77C41"/>
    <w:rsid w:val="00D800A6"/>
    <w:rsid w:val="00D80C72"/>
    <w:rsid w:val="00D81193"/>
    <w:rsid w:val="00D8193F"/>
    <w:rsid w:val="00D81BFE"/>
    <w:rsid w:val="00D825CB"/>
    <w:rsid w:val="00D827C9"/>
    <w:rsid w:val="00D8325E"/>
    <w:rsid w:val="00D84819"/>
    <w:rsid w:val="00D85054"/>
    <w:rsid w:val="00D854E8"/>
    <w:rsid w:val="00D85B04"/>
    <w:rsid w:val="00D860EC"/>
    <w:rsid w:val="00D86184"/>
    <w:rsid w:val="00D87C0E"/>
    <w:rsid w:val="00D87DC3"/>
    <w:rsid w:val="00D9089B"/>
    <w:rsid w:val="00D90B41"/>
    <w:rsid w:val="00D90EA3"/>
    <w:rsid w:val="00D9280E"/>
    <w:rsid w:val="00D932CF"/>
    <w:rsid w:val="00D93B51"/>
    <w:rsid w:val="00D93E51"/>
    <w:rsid w:val="00D94059"/>
    <w:rsid w:val="00D9418C"/>
    <w:rsid w:val="00D945C7"/>
    <w:rsid w:val="00D947D1"/>
    <w:rsid w:val="00D947EB"/>
    <w:rsid w:val="00D94BC1"/>
    <w:rsid w:val="00D953E1"/>
    <w:rsid w:val="00D959D1"/>
    <w:rsid w:val="00D965A3"/>
    <w:rsid w:val="00D9667E"/>
    <w:rsid w:val="00DA0B83"/>
    <w:rsid w:val="00DA0C9A"/>
    <w:rsid w:val="00DA0D84"/>
    <w:rsid w:val="00DA10F9"/>
    <w:rsid w:val="00DA22CF"/>
    <w:rsid w:val="00DA2BDC"/>
    <w:rsid w:val="00DA378C"/>
    <w:rsid w:val="00DA592D"/>
    <w:rsid w:val="00DA5B4A"/>
    <w:rsid w:val="00DA5C34"/>
    <w:rsid w:val="00DA60F3"/>
    <w:rsid w:val="00DA68D6"/>
    <w:rsid w:val="00DA755B"/>
    <w:rsid w:val="00DA7766"/>
    <w:rsid w:val="00DB00B3"/>
    <w:rsid w:val="00DB04F1"/>
    <w:rsid w:val="00DB0C52"/>
    <w:rsid w:val="00DB1098"/>
    <w:rsid w:val="00DB122A"/>
    <w:rsid w:val="00DB13B5"/>
    <w:rsid w:val="00DB143D"/>
    <w:rsid w:val="00DB1737"/>
    <w:rsid w:val="00DB17D4"/>
    <w:rsid w:val="00DB1E5B"/>
    <w:rsid w:val="00DB20D2"/>
    <w:rsid w:val="00DB268D"/>
    <w:rsid w:val="00DB363E"/>
    <w:rsid w:val="00DB3976"/>
    <w:rsid w:val="00DB4290"/>
    <w:rsid w:val="00DB432E"/>
    <w:rsid w:val="00DB4419"/>
    <w:rsid w:val="00DB47CE"/>
    <w:rsid w:val="00DB4A41"/>
    <w:rsid w:val="00DB4EB6"/>
    <w:rsid w:val="00DB4EE0"/>
    <w:rsid w:val="00DB6D47"/>
    <w:rsid w:val="00DB7960"/>
    <w:rsid w:val="00DC034F"/>
    <w:rsid w:val="00DC0B41"/>
    <w:rsid w:val="00DC0CD4"/>
    <w:rsid w:val="00DC1085"/>
    <w:rsid w:val="00DC1525"/>
    <w:rsid w:val="00DC1946"/>
    <w:rsid w:val="00DC205A"/>
    <w:rsid w:val="00DC2258"/>
    <w:rsid w:val="00DC2F75"/>
    <w:rsid w:val="00DC3C79"/>
    <w:rsid w:val="00DC42B1"/>
    <w:rsid w:val="00DC4866"/>
    <w:rsid w:val="00DC4870"/>
    <w:rsid w:val="00DC4B26"/>
    <w:rsid w:val="00DC4C96"/>
    <w:rsid w:val="00DC578E"/>
    <w:rsid w:val="00DC5AD4"/>
    <w:rsid w:val="00DC5D8C"/>
    <w:rsid w:val="00DC5E16"/>
    <w:rsid w:val="00DC6440"/>
    <w:rsid w:val="00DC678E"/>
    <w:rsid w:val="00DC6C3C"/>
    <w:rsid w:val="00DC7BB2"/>
    <w:rsid w:val="00DD0518"/>
    <w:rsid w:val="00DD059D"/>
    <w:rsid w:val="00DD06A1"/>
    <w:rsid w:val="00DD1196"/>
    <w:rsid w:val="00DD16F5"/>
    <w:rsid w:val="00DD1AFB"/>
    <w:rsid w:val="00DD1C02"/>
    <w:rsid w:val="00DD2463"/>
    <w:rsid w:val="00DD289C"/>
    <w:rsid w:val="00DD3ED9"/>
    <w:rsid w:val="00DD4562"/>
    <w:rsid w:val="00DD4FD1"/>
    <w:rsid w:val="00DD5186"/>
    <w:rsid w:val="00DD5D24"/>
    <w:rsid w:val="00DD6105"/>
    <w:rsid w:val="00DD64AB"/>
    <w:rsid w:val="00DD64FE"/>
    <w:rsid w:val="00DD733C"/>
    <w:rsid w:val="00DD75FE"/>
    <w:rsid w:val="00DD7D7D"/>
    <w:rsid w:val="00DD7DCD"/>
    <w:rsid w:val="00DE0467"/>
    <w:rsid w:val="00DE04A5"/>
    <w:rsid w:val="00DE054F"/>
    <w:rsid w:val="00DE1295"/>
    <w:rsid w:val="00DE1755"/>
    <w:rsid w:val="00DE1B43"/>
    <w:rsid w:val="00DE289C"/>
    <w:rsid w:val="00DE2DB9"/>
    <w:rsid w:val="00DE38DE"/>
    <w:rsid w:val="00DE39D9"/>
    <w:rsid w:val="00DE4BFB"/>
    <w:rsid w:val="00DE5921"/>
    <w:rsid w:val="00DE5990"/>
    <w:rsid w:val="00DE6A2C"/>
    <w:rsid w:val="00DE70F5"/>
    <w:rsid w:val="00DE7CE8"/>
    <w:rsid w:val="00DE7FAC"/>
    <w:rsid w:val="00DF0200"/>
    <w:rsid w:val="00DF0233"/>
    <w:rsid w:val="00DF149F"/>
    <w:rsid w:val="00DF1824"/>
    <w:rsid w:val="00DF19A7"/>
    <w:rsid w:val="00DF2402"/>
    <w:rsid w:val="00DF26EA"/>
    <w:rsid w:val="00DF2A70"/>
    <w:rsid w:val="00DF3136"/>
    <w:rsid w:val="00DF463C"/>
    <w:rsid w:val="00DF475F"/>
    <w:rsid w:val="00DF520B"/>
    <w:rsid w:val="00DF62BB"/>
    <w:rsid w:val="00DF65DF"/>
    <w:rsid w:val="00DF6677"/>
    <w:rsid w:val="00DF70A2"/>
    <w:rsid w:val="00DF727B"/>
    <w:rsid w:val="00E00902"/>
    <w:rsid w:val="00E009BF"/>
    <w:rsid w:val="00E00D18"/>
    <w:rsid w:val="00E0109C"/>
    <w:rsid w:val="00E02065"/>
    <w:rsid w:val="00E02209"/>
    <w:rsid w:val="00E02427"/>
    <w:rsid w:val="00E0247B"/>
    <w:rsid w:val="00E02631"/>
    <w:rsid w:val="00E02C16"/>
    <w:rsid w:val="00E0344C"/>
    <w:rsid w:val="00E04153"/>
    <w:rsid w:val="00E04580"/>
    <w:rsid w:val="00E0493A"/>
    <w:rsid w:val="00E04CB8"/>
    <w:rsid w:val="00E0522C"/>
    <w:rsid w:val="00E05D3D"/>
    <w:rsid w:val="00E061CC"/>
    <w:rsid w:val="00E06BA9"/>
    <w:rsid w:val="00E06D82"/>
    <w:rsid w:val="00E070EA"/>
    <w:rsid w:val="00E07946"/>
    <w:rsid w:val="00E1074F"/>
    <w:rsid w:val="00E11473"/>
    <w:rsid w:val="00E11529"/>
    <w:rsid w:val="00E11620"/>
    <w:rsid w:val="00E1270B"/>
    <w:rsid w:val="00E1295A"/>
    <w:rsid w:val="00E12BF1"/>
    <w:rsid w:val="00E12D96"/>
    <w:rsid w:val="00E13B79"/>
    <w:rsid w:val="00E13BEE"/>
    <w:rsid w:val="00E13F09"/>
    <w:rsid w:val="00E148A1"/>
    <w:rsid w:val="00E149E6"/>
    <w:rsid w:val="00E14B96"/>
    <w:rsid w:val="00E15570"/>
    <w:rsid w:val="00E17F70"/>
    <w:rsid w:val="00E2005B"/>
    <w:rsid w:val="00E20F3C"/>
    <w:rsid w:val="00E212D6"/>
    <w:rsid w:val="00E2231D"/>
    <w:rsid w:val="00E2302B"/>
    <w:rsid w:val="00E23046"/>
    <w:rsid w:val="00E232C7"/>
    <w:rsid w:val="00E23594"/>
    <w:rsid w:val="00E23D46"/>
    <w:rsid w:val="00E2409B"/>
    <w:rsid w:val="00E24463"/>
    <w:rsid w:val="00E250A0"/>
    <w:rsid w:val="00E253CD"/>
    <w:rsid w:val="00E25417"/>
    <w:rsid w:val="00E264B6"/>
    <w:rsid w:val="00E26B60"/>
    <w:rsid w:val="00E26D90"/>
    <w:rsid w:val="00E27433"/>
    <w:rsid w:val="00E3044A"/>
    <w:rsid w:val="00E304C9"/>
    <w:rsid w:val="00E31A49"/>
    <w:rsid w:val="00E31EE9"/>
    <w:rsid w:val="00E32CD0"/>
    <w:rsid w:val="00E3334B"/>
    <w:rsid w:val="00E33617"/>
    <w:rsid w:val="00E33945"/>
    <w:rsid w:val="00E343C6"/>
    <w:rsid w:val="00E34584"/>
    <w:rsid w:val="00E359D1"/>
    <w:rsid w:val="00E35ABE"/>
    <w:rsid w:val="00E35C80"/>
    <w:rsid w:val="00E35D90"/>
    <w:rsid w:val="00E36214"/>
    <w:rsid w:val="00E36B6E"/>
    <w:rsid w:val="00E36DBC"/>
    <w:rsid w:val="00E3771F"/>
    <w:rsid w:val="00E37764"/>
    <w:rsid w:val="00E3787E"/>
    <w:rsid w:val="00E37B0E"/>
    <w:rsid w:val="00E37E45"/>
    <w:rsid w:val="00E4078A"/>
    <w:rsid w:val="00E407E5"/>
    <w:rsid w:val="00E40B60"/>
    <w:rsid w:val="00E41637"/>
    <w:rsid w:val="00E41A5E"/>
    <w:rsid w:val="00E41ADD"/>
    <w:rsid w:val="00E42101"/>
    <w:rsid w:val="00E4219F"/>
    <w:rsid w:val="00E42679"/>
    <w:rsid w:val="00E42A43"/>
    <w:rsid w:val="00E43014"/>
    <w:rsid w:val="00E43CDB"/>
    <w:rsid w:val="00E440B4"/>
    <w:rsid w:val="00E444AB"/>
    <w:rsid w:val="00E44FE4"/>
    <w:rsid w:val="00E45811"/>
    <w:rsid w:val="00E45C16"/>
    <w:rsid w:val="00E460A4"/>
    <w:rsid w:val="00E464FF"/>
    <w:rsid w:val="00E46DAB"/>
    <w:rsid w:val="00E477F8"/>
    <w:rsid w:val="00E479A0"/>
    <w:rsid w:val="00E5063E"/>
    <w:rsid w:val="00E50ADC"/>
    <w:rsid w:val="00E50BA1"/>
    <w:rsid w:val="00E51435"/>
    <w:rsid w:val="00E514FC"/>
    <w:rsid w:val="00E51C05"/>
    <w:rsid w:val="00E51EF7"/>
    <w:rsid w:val="00E51FB6"/>
    <w:rsid w:val="00E5280A"/>
    <w:rsid w:val="00E53D47"/>
    <w:rsid w:val="00E5425D"/>
    <w:rsid w:val="00E5495A"/>
    <w:rsid w:val="00E557C1"/>
    <w:rsid w:val="00E56B4D"/>
    <w:rsid w:val="00E56C8E"/>
    <w:rsid w:val="00E56CB7"/>
    <w:rsid w:val="00E57477"/>
    <w:rsid w:val="00E57D3B"/>
    <w:rsid w:val="00E606F4"/>
    <w:rsid w:val="00E60E1E"/>
    <w:rsid w:val="00E613ED"/>
    <w:rsid w:val="00E61CD6"/>
    <w:rsid w:val="00E62048"/>
    <w:rsid w:val="00E62611"/>
    <w:rsid w:val="00E626D9"/>
    <w:rsid w:val="00E62BD7"/>
    <w:rsid w:val="00E62F6E"/>
    <w:rsid w:val="00E6330B"/>
    <w:rsid w:val="00E63317"/>
    <w:rsid w:val="00E63D86"/>
    <w:rsid w:val="00E64DEA"/>
    <w:rsid w:val="00E64F4A"/>
    <w:rsid w:val="00E6552D"/>
    <w:rsid w:val="00E65596"/>
    <w:rsid w:val="00E6559E"/>
    <w:rsid w:val="00E656C4"/>
    <w:rsid w:val="00E65F5C"/>
    <w:rsid w:val="00E661A5"/>
    <w:rsid w:val="00E6636F"/>
    <w:rsid w:val="00E66542"/>
    <w:rsid w:val="00E6681D"/>
    <w:rsid w:val="00E66D0B"/>
    <w:rsid w:val="00E66FD5"/>
    <w:rsid w:val="00E6744C"/>
    <w:rsid w:val="00E675F5"/>
    <w:rsid w:val="00E679BE"/>
    <w:rsid w:val="00E67E3E"/>
    <w:rsid w:val="00E703BE"/>
    <w:rsid w:val="00E70D77"/>
    <w:rsid w:val="00E7200E"/>
    <w:rsid w:val="00E73721"/>
    <w:rsid w:val="00E74472"/>
    <w:rsid w:val="00E75182"/>
    <w:rsid w:val="00E753D8"/>
    <w:rsid w:val="00E75573"/>
    <w:rsid w:val="00E77435"/>
    <w:rsid w:val="00E7794F"/>
    <w:rsid w:val="00E77B14"/>
    <w:rsid w:val="00E77CCA"/>
    <w:rsid w:val="00E77E72"/>
    <w:rsid w:val="00E8042E"/>
    <w:rsid w:val="00E8044F"/>
    <w:rsid w:val="00E805DF"/>
    <w:rsid w:val="00E806F7"/>
    <w:rsid w:val="00E80987"/>
    <w:rsid w:val="00E81318"/>
    <w:rsid w:val="00E8178E"/>
    <w:rsid w:val="00E81878"/>
    <w:rsid w:val="00E81B5D"/>
    <w:rsid w:val="00E82940"/>
    <w:rsid w:val="00E82EBA"/>
    <w:rsid w:val="00E831CD"/>
    <w:rsid w:val="00E83969"/>
    <w:rsid w:val="00E8404F"/>
    <w:rsid w:val="00E8413E"/>
    <w:rsid w:val="00E854F4"/>
    <w:rsid w:val="00E85633"/>
    <w:rsid w:val="00E85772"/>
    <w:rsid w:val="00E85AAA"/>
    <w:rsid w:val="00E85EE5"/>
    <w:rsid w:val="00E8607F"/>
    <w:rsid w:val="00E862DF"/>
    <w:rsid w:val="00E866E2"/>
    <w:rsid w:val="00E86F5A"/>
    <w:rsid w:val="00E8770A"/>
    <w:rsid w:val="00E9083C"/>
    <w:rsid w:val="00E90EDA"/>
    <w:rsid w:val="00E914C2"/>
    <w:rsid w:val="00E91682"/>
    <w:rsid w:val="00E91B33"/>
    <w:rsid w:val="00E91EEA"/>
    <w:rsid w:val="00E91F18"/>
    <w:rsid w:val="00E92FB8"/>
    <w:rsid w:val="00E943C9"/>
    <w:rsid w:val="00E94A62"/>
    <w:rsid w:val="00E94C1A"/>
    <w:rsid w:val="00E950AD"/>
    <w:rsid w:val="00E957E5"/>
    <w:rsid w:val="00E95D73"/>
    <w:rsid w:val="00E96B10"/>
    <w:rsid w:val="00E96BB3"/>
    <w:rsid w:val="00E96DBE"/>
    <w:rsid w:val="00E970EA"/>
    <w:rsid w:val="00E9748B"/>
    <w:rsid w:val="00E97992"/>
    <w:rsid w:val="00E97AD5"/>
    <w:rsid w:val="00E97BAC"/>
    <w:rsid w:val="00E97DD9"/>
    <w:rsid w:val="00EA036A"/>
    <w:rsid w:val="00EA0CEE"/>
    <w:rsid w:val="00EA172B"/>
    <w:rsid w:val="00EA173B"/>
    <w:rsid w:val="00EA2447"/>
    <w:rsid w:val="00EA24BA"/>
    <w:rsid w:val="00EA2930"/>
    <w:rsid w:val="00EA35BF"/>
    <w:rsid w:val="00EA3BA7"/>
    <w:rsid w:val="00EA3D60"/>
    <w:rsid w:val="00EA4C30"/>
    <w:rsid w:val="00EA5C70"/>
    <w:rsid w:val="00EA5C86"/>
    <w:rsid w:val="00EA628A"/>
    <w:rsid w:val="00EA635F"/>
    <w:rsid w:val="00EA64FB"/>
    <w:rsid w:val="00EA673A"/>
    <w:rsid w:val="00EA73DB"/>
    <w:rsid w:val="00EA75C2"/>
    <w:rsid w:val="00EA78AD"/>
    <w:rsid w:val="00EA7C61"/>
    <w:rsid w:val="00EB0067"/>
    <w:rsid w:val="00EB0916"/>
    <w:rsid w:val="00EB12E1"/>
    <w:rsid w:val="00EB1361"/>
    <w:rsid w:val="00EB19AA"/>
    <w:rsid w:val="00EB3556"/>
    <w:rsid w:val="00EB3C9E"/>
    <w:rsid w:val="00EB3FC0"/>
    <w:rsid w:val="00EB450A"/>
    <w:rsid w:val="00EB4E12"/>
    <w:rsid w:val="00EB5ACA"/>
    <w:rsid w:val="00EB5FF3"/>
    <w:rsid w:val="00EB6BEE"/>
    <w:rsid w:val="00EC01EF"/>
    <w:rsid w:val="00EC02E6"/>
    <w:rsid w:val="00EC0889"/>
    <w:rsid w:val="00EC0DDC"/>
    <w:rsid w:val="00EC100D"/>
    <w:rsid w:val="00EC1090"/>
    <w:rsid w:val="00EC1096"/>
    <w:rsid w:val="00EC1305"/>
    <w:rsid w:val="00EC15F3"/>
    <w:rsid w:val="00EC1687"/>
    <w:rsid w:val="00EC1A7F"/>
    <w:rsid w:val="00EC259B"/>
    <w:rsid w:val="00EC2694"/>
    <w:rsid w:val="00EC4349"/>
    <w:rsid w:val="00EC4858"/>
    <w:rsid w:val="00EC51AB"/>
    <w:rsid w:val="00EC548F"/>
    <w:rsid w:val="00EC5BE3"/>
    <w:rsid w:val="00EC6003"/>
    <w:rsid w:val="00EC6B12"/>
    <w:rsid w:val="00EC7333"/>
    <w:rsid w:val="00EC75EF"/>
    <w:rsid w:val="00EC7689"/>
    <w:rsid w:val="00EC7776"/>
    <w:rsid w:val="00EC7CCA"/>
    <w:rsid w:val="00EC7E18"/>
    <w:rsid w:val="00EC7F0E"/>
    <w:rsid w:val="00ED0BAD"/>
    <w:rsid w:val="00ED1467"/>
    <w:rsid w:val="00ED20D7"/>
    <w:rsid w:val="00ED22B5"/>
    <w:rsid w:val="00ED2797"/>
    <w:rsid w:val="00ED27BD"/>
    <w:rsid w:val="00ED2BCB"/>
    <w:rsid w:val="00ED2C4A"/>
    <w:rsid w:val="00ED2C58"/>
    <w:rsid w:val="00ED2C69"/>
    <w:rsid w:val="00ED34EB"/>
    <w:rsid w:val="00ED37DB"/>
    <w:rsid w:val="00ED3D29"/>
    <w:rsid w:val="00ED406C"/>
    <w:rsid w:val="00ED5A02"/>
    <w:rsid w:val="00ED653F"/>
    <w:rsid w:val="00ED76A3"/>
    <w:rsid w:val="00ED7A30"/>
    <w:rsid w:val="00ED7D07"/>
    <w:rsid w:val="00EE07D5"/>
    <w:rsid w:val="00EE08B2"/>
    <w:rsid w:val="00EE0A08"/>
    <w:rsid w:val="00EE1447"/>
    <w:rsid w:val="00EE25FF"/>
    <w:rsid w:val="00EE274A"/>
    <w:rsid w:val="00EE2A99"/>
    <w:rsid w:val="00EE2C2D"/>
    <w:rsid w:val="00EE3561"/>
    <w:rsid w:val="00EE3E1D"/>
    <w:rsid w:val="00EE4546"/>
    <w:rsid w:val="00EE4736"/>
    <w:rsid w:val="00EE48C5"/>
    <w:rsid w:val="00EE4AFB"/>
    <w:rsid w:val="00EE5446"/>
    <w:rsid w:val="00EE595A"/>
    <w:rsid w:val="00EE5D6E"/>
    <w:rsid w:val="00EE6CC7"/>
    <w:rsid w:val="00EF0715"/>
    <w:rsid w:val="00EF09F2"/>
    <w:rsid w:val="00EF1702"/>
    <w:rsid w:val="00EF1B10"/>
    <w:rsid w:val="00EF2482"/>
    <w:rsid w:val="00EF3A1D"/>
    <w:rsid w:val="00EF3EC3"/>
    <w:rsid w:val="00EF4129"/>
    <w:rsid w:val="00EF41D9"/>
    <w:rsid w:val="00EF455B"/>
    <w:rsid w:val="00EF465B"/>
    <w:rsid w:val="00EF4A01"/>
    <w:rsid w:val="00EF4CBD"/>
    <w:rsid w:val="00EF572C"/>
    <w:rsid w:val="00EF62AE"/>
    <w:rsid w:val="00EF65B8"/>
    <w:rsid w:val="00EF66F3"/>
    <w:rsid w:val="00EF676C"/>
    <w:rsid w:val="00EF69E2"/>
    <w:rsid w:val="00EF6BC1"/>
    <w:rsid w:val="00EF7525"/>
    <w:rsid w:val="00EF7C10"/>
    <w:rsid w:val="00F00CDF"/>
    <w:rsid w:val="00F01960"/>
    <w:rsid w:val="00F01A9A"/>
    <w:rsid w:val="00F01D61"/>
    <w:rsid w:val="00F02276"/>
    <w:rsid w:val="00F0293A"/>
    <w:rsid w:val="00F02D89"/>
    <w:rsid w:val="00F02E84"/>
    <w:rsid w:val="00F037F7"/>
    <w:rsid w:val="00F03C59"/>
    <w:rsid w:val="00F04348"/>
    <w:rsid w:val="00F04871"/>
    <w:rsid w:val="00F049E1"/>
    <w:rsid w:val="00F05519"/>
    <w:rsid w:val="00F05EC1"/>
    <w:rsid w:val="00F06049"/>
    <w:rsid w:val="00F063A8"/>
    <w:rsid w:val="00F06BF6"/>
    <w:rsid w:val="00F07922"/>
    <w:rsid w:val="00F07F42"/>
    <w:rsid w:val="00F10DC8"/>
    <w:rsid w:val="00F11098"/>
    <w:rsid w:val="00F11564"/>
    <w:rsid w:val="00F11BAB"/>
    <w:rsid w:val="00F121AE"/>
    <w:rsid w:val="00F12223"/>
    <w:rsid w:val="00F12C94"/>
    <w:rsid w:val="00F12D84"/>
    <w:rsid w:val="00F13150"/>
    <w:rsid w:val="00F132B2"/>
    <w:rsid w:val="00F13AB5"/>
    <w:rsid w:val="00F1448D"/>
    <w:rsid w:val="00F1485A"/>
    <w:rsid w:val="00F1658F"/>
    <w:rsid w:val="00F16D5D"/>
    <w:rsid w:val="00F17582"/>
    <w:rsid w:val="00F17A25"/>
    <w:rsid w:val="00F17A6E"/>
    <w:rsid w:val="00F17B21"/>
    <w:rsid w:val="00F17C4D"/>
    <w:rsid w:val="00F220B6"/>
    <w:rsid w:val="00F22483"/>
    <w:rsid w:val="00F230DF"/>
    <w:rsid w:val="00F2336B"/>
    <w:rsid w:val="00F235EE"/>
    <w:rsid w:val="00F2387A"/>
    <w:rsid w:val="00F23939"/>
    <w:rsid w:val="00F23BDC"/>
    <w:rsid w:val="00F244B3"/>
    <w:rsid w:val="00F250B3"/>
    <w:rsid w:val="00F259E2"/>
    <w:rsid w:val="00F25A7A"/>
    <w:rsid w:val="00F25E41"/>
    <w:rsid w:val="00F26317"/>
    <w:rsid w:val="00F2683E"/>
    <w:rsid w:val="00F26DA0"/>
    <w:rsid w:val="00F26E19"/>
    <w:rsid w:val="00F271E3"/>
    <w:rsid w:val="00F272AB"/>
    <w:rsid w:val="00F27397"/>
    <w:rsid w:val="00F2787F"/>
    <w:rsid w:val="00F279F2"/>
    <w:rsid w:val="00F30412"/>
    <w:rsid w:val="00F30572"/>
    <w:rsid w:val="00F30585"/>
    <w:rsid w:val="00F30984"/>
    <w:rsid w:val="00F30BDC"/>
    <w:rsid w:val="00F30D5A"/>
    <w:rsid w:val="00F30D98"/>
    <w:rsid w:val="00F30F28"/>
    <w:rsid w:val="00F30F98"/>
    <w:rsid w:val="00F310CA"/>
    <w:rsid w:val="00F310FA"/>
    <w:rsid w:val="00F32358"/>
    <w:rsid w:val="00F324AC"/>
    <w:rsid w:val="00F333AD"/>
    <w:rsid w:val="00F334AE"/>
    <w:rsid w:val="00F33BFD"/>
    <w:rsid w:val="00F33D3D"/>
    <w:rsid w:val="00F3443A"/>
    <w:rsid w:val="00F3491B"/>
    <w:rsid w:val="00F34CFD"/>
    <w:rsid w:val="00F3542F"/>
    <w:rsid w:val="00F3637E"/>
    <w:rsid w:val="00F36842"/>
    <w:rsid w:val="00F36C58"/>
    <w:rsid w:val="00F37360"/>
    <w:rsid w:val="00F37EF4"/>
    <w:rsid w:val="00F37F12"/>
    <w:rsid w:val="00F37F42"/>
    <w:rsid w:val="00F40289"/>
    <w:rsid w:val="00F406DD"/>
    <w:rsid w:val="00F40D9D"/>
    <w:rsid w:val="00F40DFE"/>
    <w:rsid w:val="00F40F01"/>
    <w:rsid w:val="00F4120B"/>
    <w:rsid w:val="00F424BD"/>
    <w:rsid w:val="00F4252F"/>
    <w:rsid w:val="00F427B8"/>
    <w:rsid w:val="00F437E4"/>
    <w:rsid w:val="00F44532"/>
    <w:rsid w:val="00F44832"/>
    <w:rsid w:val="00F456E4"/>
    <w:rsid w:val="00F45878"/>
    <w:rsid w:val="00F465E4"/>
    <w:rsid w:val="00F47DAC"/>
    <w:rsid w:val="00F50164"/>
    <w:rsid w:val="00F507C5"/>
    <w:rsid w:val="00F50BD3"/>
    <w:rsid w:val="00F518ED"/>
    <w:rsid w:val="00F51E7C"/>
    <w:rsid w:val="00F521F7"/>
    <w:rsid w:val="00F522C1"/>
    <w:rsid w:val="00F52355"/>
    <w:rsid w:val="00F5241A"/>
    <w:rsid w:val="00F52453"/>
    <w:rsid w:val="00F53BDE"/>
    <w:rsid w:val="00F53C5D"/>
    <w:rsid w:val="00F5401A"/>
    <w:rsid w:val="00F5515D"/>
    <w:rsid w:val="00F55856"/>
    <w:rsid w:val="00F55C35"/>
    <w:rsid w:val="00F56C40"/>
    <w:rsid w:val="00F57672"/>
    <w:rsid w:val="00F60D48"/>
    <w:rsid w:val="00F61827"/>
    <w:rsid w:val="00F61B85"/>
    <w:rsid w:val="00F62A0C"/>
    <w:rsid w:val="00F63165"/>
    <w:rsid w:val="00F636E0"/>
    <w:rsid w:val="00F63A19"/>
    <w:rsid w:val="00F63EB7"/>
    <w:rsid w:val="00F648E1"/>
    <w:rsid w:val="00F648F8"/>
    <w:rsid w:val="00F649EB"/>
    <w:rsid w:val="00F655F7"/>
    <w:rsid w:val="00F65850"/>
    <w:rsid w:val="00F65A37"/>
    <w:rsid w:val="00F65E95"/>
    <w:rsid w:val="00F66BE6"/>
    <w:rsid w:val="00F67C37"/>
    <w:rsid w:val="00F70353"/>
    <w:rsid w:val="00F704C8"/>
    <w:rsid w:val="00F7115E"/>
    <w:rsid w:val="00F711FA"/>
    <w:rsid w:val="00F71564"/>
    <w:rsid w:val="00F7170E"/>
    <w:rsid w:val="00F71855"/>
    <w:rsid w:val="00F71F5C"/>
    <w:rsid w:val="00F723AC"/>
    <w:rsid w:val="00F7332F"/>
    <w:rsid w:val="00F73EA8"/>
    <w:rsid w:val="00F73FB3"/>
    <w:rsid w:val="00F7402F"/>
    <w:rsid w:val="00F7476D"/>
    <w:rsid w:val="00F74961"/>
    <w:rsid w:val="00F74D1B"/>
    <w:rsid w:val="00F75076"/>
    <w:rsid w:val="00F75A73"/>
    <w:rsid w:val="00F768B2"/>
    <w:rsid w:val="00F76E2E"/>
    <w:rsid w:val="00F76E42"/>
    <w:rsid w:val="00F771F6"/>
    <w:rsid w:val="00F7723A"/>
    <w:rsid w:val="00F775ED"/>
    <w:rsid w:val="00F7798B"/>
    <w:rsid w:val="00F77C6D"/>
    <w:rsid w:val="00F77E83"/>
    <w:rsid w:val="00F77EE3"/>
    <w:rsid w:val="00F80024"/>
    <w:rsid w:val="00F800EB"/>
    <w:rsid w:val="00F80773"/>
    <w:rsid w:val="00F80893"/>
    <w:rsid w:val="00F80958"/>
    <w:rsid w:val="00F80DCC"/>
    <w:rsid w:val="00F8194A"/>
    <w:rsid w:val="00F81B12"/>
    <w:rsid w:val="00F81FB9"/>
    <w:rsid w:val="00F8226B"/>
    <w:rsid w:val="00F82351"/>
    <w:rsid w:val="00F829B4"/>
    <w:rsid w:val="00F82D7C"/>
    <w:rsid w:val="00F83812"/>
    <w:rsid w:val="00F83A0A"/>
    <w:rsid w:val="00F83A2A"/>
    <w:rsid w:val="00F83A31"/>
    <w:rsid w:val="00F8472E"/>
    <w:rsid w:val="00F849D6"/>
    <w:rsid w:val="00F84A36"/>
    <w:rsid w:val="00F84DAC"/>
    <w:rsid w:val="00F86348"/>
    <w:rsid w:val="00F8638E"/>
    <w:rsid w:val="00F869FE"/>
    <w:rsid w:val="00F86B5F"/>
    <w:rsid w:val="00F87410"/>
    <w:rsid w:val="00F87674"/>
    <w:rsid w:val="00F876EF"/>
    <w:rsid w:val="00F878CA"/>
    <w:rsid w:val="00F90565"/>
    <w:rsid w:val="00F91CEE"/>
    <w:rsid w:val="00F92BEA"/>
    <w:rsid w:val="00F92DCC"/>
    <w:rsid w:val="00F930B4"/>
    <w:rsid w:val="00F953CD"/>
    <w:rsid w:val="00F95648"/>
    <w:rsid w:val="00F95EF3"/>
    <w:rsid w:val="00F97A0C"/>
    <w:rsid w:val="00F97B5F"/>
    <w:rsid w:val="00F97F1F"/>
    <w:rsid w:val="00F97F75"/>
    <w:rsid w:val="00FA0829"/>
    <w:rsid w:val="00FA0851"/>
    <w:rsid w:val="00FA0FD5"/>
    <w:rsid w:val="00FA19E4"/>
    <w:rsid w:val="00FA210F"/>
    <w:rsid w:val="00FA29A0"/>
    <w:rsid w:val="00FA344E"/>
    <w:rsid w:val="00FA3486"/>
    <w:rsid w:val="00FA3A07"/>
    <w:rsid w:val="00FA3AC1"/>
    <w:rsid w:val="00FA402F"/>
    <w:rsid w:val="00FA4911"/>
    <w:rsid w:val="00FA4A4A"/>
    <w:rsid w:val="00FA4D5D"/>
    <w:rsid w:val="00FA50C2"/>
    <w:rsid w:val="00FA5172"/>
    <w:rsid w:val="00FA51CA"/>
    <w:rsid w:val="00FA52A2"/>
    <w:rsid w:val="00FA53A1"/>
    <w:rsid w:val="00FA5B73"/>
    <w:rsid w:val="00FA64C0"/>
    <w:rsid w:val="00FA66D6"/>
    <w:rsid w:val="00FA72DB"/>
    <w:rsid w:val="00FA7944"/>
    <w:rsid w:val="00FA79F7"/>
    <w:rsid w:val="00FB0AB8"/>
    <w:rsid w:val="00FB0FE5"/>
    <w:rsid w:val="00FB1232"/>
    <w:rsid w:val="00FB1307"/>
    <w:rsid w:val="00FB3134"/>
    <w:rsid w:val="00FB35B9"/>
    <w:rsid w:val="00FB3FF9"/>
    <w:rsid w:val="00FB43A7"/>
    <w:rsid w:val="00FB52AA"/>
    <w:rsid w:val="00FB59FA"/>
    <w:rsid w:val="00FB6835"/>
    <w:rsid w:val="00FB7B17"/>
    <w:rsid w:val="00FC0526"/>
    <w:rsid w:val="00FC060A"/>
    <w:rsid w:val="00FC1072"/>
    <w:rsid w:val="00FC1338"/>
    <w:rsid w:val="00FC15FE"/>
    <w:rsid w:val="00FC2393"/>
    <w:rsid w:val="00FC259F"/>
    <w:rsid w:val="00FC2607"/>
    <w:rsid w:val="00FC304C"/>
    <w:rsid w:val="00FC3B50"/>
    <w:rsid w:val="00FC4209"/>
    <w:rsid w:val="00FC425B"/>
    <w:rsid w:val="00FC4984"/>
    <w:rsid w:val="00FC5B19"/>
    <w:rsid w:val="00FC60CB"/>
    <w:rsid w:val="00FC6E31"/>
    <w:rsid w:val="00FC7268"/>
    <w:rsid w:val="00FC7A42"/>
    <w:rsid w:val="00FD07BA"/>
    <w:rsid w:val="00FD086E"/>
    <w:rsid w:val="00FD1126"/>
    <w:rsid w:val="00FD14DC"/>
    <w:rsid w:val="00FD2314"/>
    <w:rsid w:val="00FD2B54"/>
    <w:rsid w:val="00FD2CA8"/>
    <w:rsid w:val="00FD2D32"/>
    <w:rsid w:val="00FD50EA"/>
    <w:rsid w:val="00FD56E0"/>
    <w:rsid w:val="00FD5A4A"/>
    <w:rsid w:val="00FD69F4"/>
    <w:rsid w:val="00FD73C9"/>
    <w:rsid w:val="00FD7B27"/>
    <w:rsid w:val="00FE0439"/>
    <w:rsid w:val="00FE0986"/>
    <w:rsid w:val="00FE0C0D"/>
    <w:rsid w:val="00FE0C36"/>
    <w:rsid w:val="00FE26CA"/>
    <w:rsid w:val="00FE3395"/>
    <w:rsid w:val="00FE3413"/>
    <w:rsid w:val="00FE38C0"/>
    <w:rsid w:val="00FE38D9"/>
    <w:rsid w:val="00FE44D3"/>
    <w:rsid w:val="00FE5719"/>
    <w:rsid w:val="00FE5BD3"/>
    <w:rsid w:val="00FE6203"/>
    <w:rsid w:val="00FE687B"/>
    <w:rsid w:val="00FE7110"/>
    <w:rsid w:val="00FE7351"/>
    <w:rsid w:val="00FE76E2"/>
    <w:rsid w:val="00FE79EB"/>
    <w:rsid w:val="00FE7B03"/>
    <w:rsid w:val="00FE7BAC"/>
    <w:rsid w:val="00FF007C"/>
    <w:rsid w:val="00FF10F2"/>
    <w:rsid w:val="00FF1ED0"/>
    <w:rsid w:val="00FF20FA"/>
    <w:rsid w:val="00FF28D0"/>
    <w:rsid w:val="00FF30C4"/>
    <w:rsid w:val="00FF35AA"/>
    <w:rsid w:val="00FF3734"/>
    <w:rsid w:val="00FF453F"/>
    <w:rsid w:val="00FF47CC"/>
    <w:rsid w:val="00FF5B72"/>
    <w:rsid w:val="00FF61E8"/>
    <w:rsid w:val="00FF6EBF"/>
    <w:rsid w:val="00FF6FD9"/>
    <w:rsid w:val="01A87D2B"/>
    <w:rsid w:val="020E2058"/>
    <w:rsid w:val="034C6574"/>
    <w:rsid w:val="0543698F"/>
    <w:rsid w:val="0C1C328B"/>
    <w:rsid w:val="0CA865B1"/>
    <w:rsid w:val="0D1D6376"/>
    <w:rsid w:val="0FC33DC8"/>
    <w:rsid w:val="119965ED"/>
    <w:rsid w:val="11B5604C"/>
    <w:rsid w:val="11DA61BE"/>
    <w:rsid w:val="13E91963"/>
    <w:rsid w:val="14905E7E"/>
    <w:rsid w:val="15705BE3"/>
    <w:rsid w:val="15FD7FC2"/>
    <w:rsid w:val="16EF66E6"/>
    <w:rsid w:val="19650B64"/>
    <w:rsid w:val="1B9C7B06"/>
    <w:rsid w:val="1D672D1A"/>
    <w:rsid w:val="1EB919E0"/>
    <w:rsid w:val="1FAB3257"/>
    <w:rsid w:val="20F769BB"/>
    <w:rsid w:val="214F7D84"/>
    <w:rsid w:val="22680EB9"/>
    <w:rsid w:val="23531969"/>
    <w:rsid w:val="24092CF8"/>
    <w:rsid w:val="24164041"/>
    <w:rsid w:val="24476884"/>
    <w:rsid w:val="251621FB"/>
    <w:rsid w:val="251D5997"/>
    <w:rsid w:val="2523126E"/>
    <w:rsid w:val="275F7032"/>
    <w:rsid w:val="28702851"/>
    <w:rsid w:val="29CA31EB"/>
    <w:rsid w:val="29DE0962"/>
    <w:rsid w:val="29E01B7D"/>
    <w:rsid w:val="2A10149D"/>
    <w:rsid w:val="2A9577F2"/>
    <w:rsid w:val="2F3C7EB3"/>
    <w:rsid w:val="31766252"/>
    <w:rsid w:val="33A93AA6"/>
    <w:rsid w:val="33F032EE"/>
    <w:rsid w:val="3654427E"/>
    <w:rsid w:val="36977261"/>
    <w:rsid w:val="36B50A6C"/>
    <w:rsid w:val="387837CA"/>
    <w:rsid w:val="39116459"/>
    <w:rsid w:val="3960312F"/>
    <w:rsid w:val="39A91E76"/>
    <w:rsid w:val="39E71A84"/>
    <w:rsid w:val="3A192D6D"/>
    <w:rsid w:val="3A9004C6"/>
    <w:rsid w:val="3B0A153C"/>
    <w:rsid w:val="3B0B0470"/>
    <w:rsid w:val="3BD2559D"/>
    <w:rsid w:val="3C2F0F29"/>
    <w:rsid w:val="3C5E469E"/>
    <w:rsid w:val="3D6B4E51"/>
    <w:rsid w:val="3D847F55"/>
    <w:rsid w:val="3E993038"/>
    <w:rsid w:val="3EED4AA9"/>
    <w:rsid w:val="3F035D9A"/>
    <w:rsid w:val="3FF676AC"/>
    <w:rsid w:val="40BA2036"/>
    <w:rsid w:val="42247622"/>
    <w:rsid w:val="42952F71"/>
    <w:rsid w:val="43F16C00"/>
    <w:rsid w:val="44E958C2"/>
    <w:rsid w:val="452F2C10"/>
    <w:rsid w:val="45392515"/>
    <w:rsid w:val="45676F6B"/>
    <w:rsid w:val="45EB49FD"/>
    <w:rsid w:val="47226FD9"/>
    <w:rsid w:val="478B260D"/>
    <w:rsid w:val="4A13725E"/>
    <w:rsid w:val="4B22144C"/>
    <w:rsid w:val="4BCB5582"/>
    <w:rsid w:val="4CF30BA9"/>
    <w:rsid w:val="4D34562B"/>
    <w:rsid w:val="4DA40274"/>
    <w:rsid w:val="4ECA0AED"/>
    <w:rsid w:val="4ED35EFB"/>
    <w:rsid w:val="4FB363DA"/>
    <w:rsid w:val="4FEE4035"/>
    <w:rsid w:val="5100482F"/>
    <w:rsid w:val="538739F4"/>
    <w:rsid w:val="562002DF"/>
    <w:rsid w:val="563E3158"/>
    <w:rsid w:val="56474B1D"/>
    <w:rsid w:val="580215EF"/>
    <w:rsid w:val="58FA6008"/>
    <w:rsid w:val="59403B0F"/>
    <w:rsid w:val="59C809FE"/>
    <w:rsid w:val="5A2A0768"/>
    <w:rsid w:val="5A9E36B7"/>
    <w:rsid w:val="5AD3612F"/>
    <w:rsid w:val="5BA109BC"/>
    <w:rsid w:val="5CFE7A64"/>
    <w:rsid w:val="5E451AD3"/>
    <w:rsid w:val="5EA643D8"/>
    <w:rsid w:val="5F5850D2"/>
    <w:rsid w:val="61687FC5"/>
    <w:rsid w:val="619A1DC7"/>
    <w:rsid w:val="67757512"/>
    <w:rsid w:val="6A0A4F44"/>
    <w:rsid w:val="6B14078A"/>
    <w:rsid w:val="6B7739CC"/>
    <w:rsid w:val="6C05412E"/>
    <w:rsid w:val="6E185E2D"/>
    <w:rsid w:val="6F060E0B"/>
    <w:rsid w:val="6F47431B"/>
    <w:rsid w:val="6F7F6679"/>
    <w:rsid w:val="7020392A"/>
    <w:rsid w:val="712573E8"/>
    <w:rsid w:val="71556D80"/>
    <w:rsid w:val="71585E4E"/>
    <w:rsid w:val="71F37057"/>
    <w:rsid w:val="722B242C"/>
    <w:rsid w:val="72C65718"/>
    <w:rsid w:val="733D4034"/>
    <w:rsid w:val="74546797"/>
    <w:rsid w:val="765B603D"/>
    <w:rsid w:val="7BD1052C"/>
    <w:rsid w:val="7BD75E15"/>
    <w:rsid w:val="7C7C2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opacity="0f" focussize="0,0"/>
      <v:stroke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qFormat="1" w:unhideWhenUsed="0" w:uiPriority="0" w:name="endnote text"/>
    <w:lsdException w:qFormat="1" w:unhideWhenUsed="0" w:uiPriority="0" w:name="table of authorities"/>
    <w:lsdException w:qFormat="1" w:unhideWhenUsed="0" w:uiPriority="0" w:name="macro"/>
    <w:lsdException w:qFormat="1" w:unhideWhenUsed="0"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12" w:lineRule="auto"/>
      <w:jc w:val="both"/>
    </w:pPr>
    <w:rPr>
      <w:rFonts w:ascii="Times New Roman" w:hAnsi="Times New Roman" w:eastAsia="宋体" w:cs="Times New Roman"/>
      <w:kern w:val="2"/>
      <w:sz w:val="24"/>
      <w:szCs w:val="24"/>
      <w:lang w:val="en-US" w:eastAsia="zh-CN" w:bidi="ar-SA"/>
    </w:rPr>
  </w:style>
  <w:style w:type="paragraph" w:styleId="3">
    <w:name w:val="heading 1"/>
    <w:basedOn w:val="4"/>
    <w:next w:val="1"/>
    <w:link w:val="106"/>
    <w:autoRedefine/>
    <w:qFormat/>
    <w:uiPriority w:val="0"/>
    <w:pPr>
      <w:numPr>
        <w:ilvl w:val="0"/>
        <w:numId w:val="1"/>
      </w:numPr>
      <w:ind w:right="100" w:rightChars="100"/>
      <w:jc w:val="left"/>
    </w:pPr>
    <w:rPr>
      <w:rFonts w:eastAsia="黑体"/>
      <w:sz w:val="24"/>
    </w:rPr>
  </w:style>
  <w:style w:type="paragraph" w:styleId="5">
    <w:name w:val="heading 2"/>
    <w:basedOn w:val="1"/>
    <w:next w:val="1"/>
    <w:link w:val="116"/>
    <w:autoRedefine/>
    <w:qFormat/>
    <w:uiPriority w:val="0"/>
    <w:pPr>
      <w:keepNext/>
      <w:keepLines/>
      <w:spacing w:before="260" w:after="260" w:line="416" w:lineRule="auto"/>
      <w:outlineLvl w:val="1"/>
    </w:pPr>
    <w:rPr>
      <w:rFonts w:ascii="Arial" w:hAnsi="Arial" w:eastAsia="黑体"/>
      <w:b/>
      <w:bCs/>
      <w:sz w:val="32"/>
      <w:szCs w:val="32"/>
      <w:lang w:val="zh-CN" w:eastAsia="zh-CN"/>
    </w:rPr>
  </w:style>
  <w:style w:type="paragraph" w:styleId="6">
    <w:name w:val="heading 3"/>
    <w:basedOn w:val="1"/>
    <w:next w:val="1"/>
    <w:autoRedefine/>
    <w:qFormat/>
    <w:uiPriority w:val="0"/>
    <w:pPr>
      <w:keepNext/>
      <w:keepLines/>
      <w:spacing w:before="260" w:after="260"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autoRedefine/>
    <w:qFormat/>
    <w:uiPriority w:val="0"/>
    <w:pPr>
      <w:keepNext/>
      <w:keepLines/>
      <w:spacing w:before="280" w:after="290" w:line="376" w:lineRule="auto"/>
      <w:outlineLvl w:val="4"/>
    </w:pPr>
    <w:rPr>
      <w:b/>
      <w:bCs/>
      <w:sz w:val="28"/>
      <w:szCs w:val="28"/>
    </w:rPr>
  </w:style>
  <w:style w:type="paragraph" w:styleId="9">
    <w:name w:val="heading 6"/>
    <w:basedOn w:val="1"/>
    <w:next w:val="1"/>
    <w:autoRedefine/>
    <w:qFormat/>
    <w:uiPriority w:val="0"/>
    <w:pPr>
      <w:keepNext/>
      <w:keepLines/>
      <w:spacing w:before="240" w:after="64" w:line="320" w:lineRule="auto"/>
      <w:outlineLvl w:val="5"/>
    </w:pPr>
    <w:rPr>
      <w:rFonts w:ascii="Arial" w:hAnsi="Arial" w:eastAsia="黑体"/>
      <w:b/>
      <w:bCs/>
    </w:rPr>
  </w:style>
  <w:style w:type="paragraph" w:styleId="10">
    <w:name w:val="heading 7"/>
    <w:basedOn w:val="1"/>
    <w:next w:val="1"/>
    <w:autoRedefine/>
    <w:qFormat/>
    <w:uiPriority w:val="0"/>
    <w:pPr>
      <w:keepNext/>
      <w:keepLines/>
      <w:spacing w:before="240" w:after="64" w:line="320" w:lineRule="auto"/>
      <w:outlineLvl w:val="6"/>
    </w:pPr>
    <w:rPr>
      <w:b/>
      <w:bCs/>
    </w:rPr>
  </w:style>
  <w:style w:type="paragraph" w:styleId="11">
    <w:name w:val="heading 8"/>
    <w:basedOn w:val="1"/>
    <w:next w:val="1"/>
    <w:autoRedefine/>
    <w:qFormat/>
    <w:uiPriority w:val="0"/>
    <w:pPr>
      <w:keepNext/>
      <w:keepLines/>
      <w:spacing w:before="240" w:after="64" w:line="320" w:lineRule="auto"/>
      <w:outlineLvl w:val="7"/>
    </w:pPr>
    <w:rPr>
      <w:rFonts w:ascii="Arial" w:hAnsi="Arial" w:eastAsia="黑体"/>
    </w:rPr>
  </w:style>
  <w:style w:type="paragraph" w:styleId="12">
    <w:name w:val="heading 9"/>
    <w:basedOn w:val="1"/>
    <w:next w:val="1"/>
    <w:autoRedefine/>
    <w:qFormat/>
    <w:uiPriority w:val="0"/>
    <w:pPr>
      <w:keepNext/>
      <w:keepLines/>
      <w:spacing w:before="240" w:after="64" w:line="320" w:lineRule="auto"/>
      <w:outlineLvl w:val="8"/>
    </w:pPr>
    <w:rPr>
      <w:rFonts w:ascii="Arial" w:hAnsi="Arial" w:eastAsia="黑体"/>
      <w:sz w:val="21"/>
      <w:szCs w:val="21"/>
    </w:rPr>
  </w:style>
  <w:style w:type="character" w:default="1" w:styleId="96">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autoRedefine/>
    <w:semiHidden/>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4">
    <w:name w:val="Title"/>
    <w:basedOn w:val="1"/>
    <w:next w:val="1"/>
    <w:link w:val="105"/>
    <w:autoRedefine/>
    <w:qFormat/>
    <w:uiPriority w:val="0"/>
    <w:pPr>
      <w:spacing w:before="240" w:after="60"/>
      <w:jc w:val="center"/>
      <w:outlineLvl w:val="0"/>
    </w:pPr>
    <w:rPr>
      <w:rFonts w:ascii="Cambria" w:hAnsi="Cambria"/>
      <w:b/>
      <w:bCs/>
      <w:sz w:val="32"/>
      <w:szCs w:val="32"/>
      <w:lang w:val="zh-CN" w:eastAsia="zh-CN"/>
    </w:rPr>
  </w:style>
  <w:style w:type="paragraph" w:styleId="13">
    <w:name w:val="List 3"/>
    <w:basedOn w:val="1"/>
    <w:autoRedefine/>
    <w:qFormat/>
    <w:uiPriority w:val="0"/>
    <w:pPr>
      <w:ind w:left="100" w:leftChars="400" w:hanging="200" w:hangingChars="200"/>
    </w:pPr>
  </w:style>
  <w:style w:type="paragraph" w:styleId="14">
    <w:name w:val="toc 7"/>
    <w:basedOn w:val="1"/>
    <w:next w:val="1"/>
    <w:autoRedefine/>
    <w:semiHidden/>
    <w:qFormat/>
    <w:uiPriority w:val="0"/>
    <w:pPr>
      <w:ind w:left="2520" w:leftChars="1200"/>
    </w:pPr>
  </w:style>
  <w:style w:type="paragraph" w:styleId="15">
    <w:name w:val="List Number 2"/>
    <w:basedOn w:val="1"/>
    <w:autoRedefine/>
    <w:qFormat/>
    <w:uiPriority w:val="0"/>
    <w:pPr>
      <w:numPr>
        <w:ilvl w:val="0"/>
        <w:numId w:val="2"/>
      </w:numPr>
    </w:pPr>
  </w:style>
  <w:style w:type="paragraph" w:styleId="16">
    <w:name w:val="table of authorities"/>
    <w:basedOn w:val="1"/>
    <w:next w:val="1"/>
    <w:autoRedefine/>
    <w:semiHidden/>
    <w:qFormat/>
    <w:uiPriority w:val="0"/>
    <w:pPr>
      <w:ind w:left="420" w:leftChars="200"/>
    </w:pPr>
  </w:style>
  <w:style w:type="paragraph" w:styleId="17">
    <w:name w:val="Note Heading"/>
    <w:basedOn w:val="1"/>
    <w:next w:val="1"/>
    <w:autoRedefine/>
    <w:qFormat/>
    <w:uiPriority w:val="0"/>
    <w:pPr>
      <w:jc w:val="center"/>
    </w:pPr>
  </w:style>
  <w:style w:type="paragraph" w:styleId="18">
    <w:name w:val="List Bullet 4"/>
    <w:basedOn w:val="1"/>
    <w:autoRedefine/>
    <w:qFormat/>
    <w:uiPriority w:val="0"/>
    <w:pPr>
      <w:numPr>
        <w:ilvl w:val="0"/>
        <w:numId w:val="3"/>
      </w:numPr>
    </w:pPr>
  </w:style>
  <w:style w:type="paragraph" w:styleId="19">
    <w:name w:val="index 8"/>
    <w:basedOn w:val="1"/>
    <w:next w:val="1"/>
    <w:autoRedefine/>
    <w:semiHidden/>
    <w:qFormat/>
    <w:uiPriority w:val="0"/>
    <w:pPr>
      <w:ind w:left="1400" w:leftChars="1400"/>
    </w:pPr>
  </w:style>
  <w:style w:type="paragraph" w:styleId="20">
    <w:name w:val="E-mail Signature"/>
    <w:basedOn w:val="1"/>
    <w:autoRedefine/>
    <w:qFormat/>
    <w:uiPriority w:val="0"/>
  </w:style>
  <w:style w:type="paragraph" w:styleId="21">
    <w:name w:val="List Number"/>
    <w:basedOn w:val="1"/>
    <w:autoRedefine/>
    <w:qFormat/>
    <w:uiPriority w:val="0"/>
    <w:pPr>
      <w:numPr>
        <w:ilvl w:val="0"/>
        <w:numId w:val="4"/>
      </w:numPr>
    </w:pPr>
  </w:style>
  <w:style w:type="paragraph" w:styleId="22">
    <w:name w:val="Normal Indent"/>
    <w:basedOn w:val="1"/>
    <w:autoRedefine/>
    <w:qFormat/>
    <w:uiPriority w:val="0"/>
    <w:pPr>
      <w:ind w:firstLine="420" w:firstLineChars="200"/>
    </w:pPr>
  </w:style>
  <w:style w:type="paragraph" w:styleId="23">
    <w:name w:val="caption"/>
    <w:basedOn w:val="1"/>
    <w:next w:val="1"/>
    <w:autoRedefine/>
    <w:qFormat/>
    <w:uiPriority w:val="0"/>
    <w:rPr>
      <w:rFonts w:ascii="Arial" w:hAnsi="Arial" w:eastAsia="黑体" w:cs="Arial"/>
      <w:sz w:val="20"/>
      <w:szCs w:val="20"/>
    </w:rPr>
  </w:style>
  <w:style w:type="paragraph" w:styleId="24">
    <w:name w:val="index 5"/>
    <w:basedOn w:val="1"/>
    <w:next w:val="1"/>
    <w:autoRedefine/>
    <w:semiHidden/>
    <w:qFormat/>
    <w:uiPriority w:val="0"/>
    <w:pPr>
      <w:ind w:left="800" w:leftChars="800"/>
    </w:pPr>
  </w:style>
  <w:style w:type="paragraph" w:styleId="25">
    <w:name w:val="List Bullet"/>
    <w:basedOn w:val="1"/>
    <w:autoRedefine/>
    <w:qFormat/>
    <w:uiPriority w:val="0"/>
    <w:pPr>
      <w:numPr>
        <w:ilvl w:val="0"/>
        <w:numId w:val="5"/>
      </w:numPr>
    </w:pPr>
  </w:style>
  <w:style w:type="paragraph" w:styleId="26">
    <w:name w:val="envelope address"/>
    <w:basedOn w:val="1"/>
    <w:autoRedefine/>
    <w:qFormat/>
    <w:uiPriority w:val="0"/>
    <w:pPr>
      <w:framePr w:w="7920" w:h="1980" w:hRule="exact" w:hSpace="180" w:wrap="auto" w:vAnchor="margin" w:hAnchor="page" w:xAlign="center" w:yAlign="bottom"/>
      <w:snapToGrid w:val="0"/>
      <w:ind w:left="100" w:leftChars="1400"/>
    </w:pPr>
    <w:rPr>
      <w:rFonts w:ascii="Arial" w:hAnsi="Arial" w:cs="Arial"/>
    </w:rPr>
  </w:style>
  <w:style w:type="paragraph" w:styleId="27">
    <w:name w:val="Document Map"/>
    <w:basedOn w:val="1"/>
    <w:autoRedefine/>
    <w:semiHidden/>
    <w:qFormat/>
    <w:uiPriority w:val="0"/>
    <w:pPr>
      <w:shd w:val="clear" w:color="auto" w:fill="000080"/>
    </w:pPr>
  </w:style>
  <w:style w:type="paragraph" w:styleId="28">
    <w:name w:val="toa heading"/>
    <w:basedOn w:val="1"/>
    <w:next w:val="1"/>
    <w:autoRedefine/>
    <w:semiHidden/>
    <w:qFormat/>
    <w:uiPriority w:val="0"/>
    <w:pPr>
      <w:spacing w:before="120"/>
    </w:pPr>
    <w:rPr>
      <w:rFonts w:ascii="Arial" w:hAnsi="Arial" w:cs="Arial"/>
    </w:rPr>
  </w:style>
  <w:style w:type="paragraph" w:styleId="29">
    <w:name w:val="annotation text"/>
    <w:basedOn w:val="1"/>
    <w:autoRedefine/>
    <w:semiHidden/>
    <w:qFormat/>
    <w:uiPriority w:val="0"/>
    <w:pPr>
      <w:jc w:val="left"/>
    </w:pPr>
  </w:style>
  <w:style w:type="paragraph" w:styleId="30">
    <w:name w:val="index 6"/>
    <w:basedOn w:val="1"/>
    <w:next w:val="1"/>
    <w:autoRedefine/>
    <w:semiHidden/>
    <w:qFormat/>
    <w:uiPriority w:val="0"/>
    <w:pPr>
      <w:ind w:left="1000" w:leftChars="1000"/>
    </w:pPr>
  </w:style>
  <w:style w:type="paragraph" w:styleId="31">
    <w:name w:val="Salutation"/>
    <w:basedOn w:val="1"/>
    <w:next w:val="1"/>
    <w:autoRedefine/>
    <w:qFormat/>
    <w:uiPriority w:val="0"/>
  </w:style>
  <w:style w:type="paragraph" w:styleId="32">
    <w:name w:val="Body Text 3"/>
    <w:basedOn w:val="1"/>
    <w:autoRedefine/>
    <w:qFormat/>
    <w:uiPriority w:val="0"/>
    <w:pPr>
      <w:spacing w:after="120"/>
    </w:pPr>
    <w:rPr>
      <w:sz w:val="16"/>
      <w:szCs w:val="16"/>
    </w:rPr>
  </w:style>
  <w:style w:type="paragraph" w:styleId="33">
    <w:name w:val="Closing"/>
    <w:basedOn w:val="1"/>
    <w:autoRedefine/>
    <w:qFormat/>
    <w:uiPriority w:val="0"/>
    <w:pPr>
      <w:ind w:left="100" w:leftChars="2100"/>
    </w:pPr>
  </w:style>
  <w:style w:type="paragraph" w:styleId="34">
    <w:name w:val="List Bullet 3"/>
    <w:basedOn w:val="1"/>
    <w:autoRedefine/>
    <w:qFormat/>
    <w:uiPriority w:val="0"/>
    <w:pPr>
      <w:numPr>
        <w:ilvl w:val="0"/>
        <w:numId w:val="6"/>
      </w:numPr>
    </w:pPr>
  </w:style>
  <w:style w:type="paragraph" w:styleId="35">
    <w:name w:val="Body Text"/>
    <w:basedOn w:val="1"/>
    <w:autoRedefine/>
    <w:qFormat/>
    <w:uiPriority w:val="0"/>
    <w:pPr>
      <w:spacing w:after="120"/>
    </w:pPr>
  </w:style>
  <w:style w:type="paragraph" w:styleId="36">
    <w:name w:val="Body Text Indent"/>
    <w:basedOn w:val="1"/>
    <w:autoRedefine/>
    <w:qFormat/>
    <w:uiPriority w:val="0"/>
    <w:pPr>
      <w:spacing w:after="120"/>
      <w:ind w:left="420" w:leftChars="200"/>
    </w:pPr>
  </w:style>
  <w:style w:type="paragraph" w:styleId="37">
    <w:name w:val="List Number 3"/>
    <w:basedOn w:val="1"/>
    <w:autoRedefine/>
    <w:qFormat/>
    <w:uiPriority w:val="0"/>
    <w:pPr>
      <w:numPr>
        <w:ilvl w:val="0"/>
        <w:numId w:val="7"/>
      </w:numPr>
    </w:pPr>
  </w:style>
  <w:style w:type="paragraph" w:styleId="38">
    <w:name w:val="List 2"/>
    <w:basedOn w:val="1"/>
    <w:autoRedefine/>
    <w:qFormat/>
    <w:uiPriority w:val="0"/>
    <w:pPr>
      <w:ind w:left="100" w:leftChars="200" w:hanging="200" w:hangingChars="200"/>
    </w:pPr>
  </w:style>
  <w:style w:type="paragraph" w:styleId="39">
    <w:name w:val="List Continue"/>
    <w:basedOn w:val="1"/>
    <w:autoRedefine/>
    <w:qFormat/>
    <w:uiPriority w:val="0"/>
    <w:pPr>
      <w:spacing w:after="120"/>
      <w:ind w:left="420" w:leftChars="200"/>
    </w:pPr>
  </w:style>
  <w:style w:type="paragraph" w:styleId="40">
    <w:name w:val="Block Text"/>
    <w:basedOn w:val="1"/>
    <w:autoRedefine/>
    <w:qFormat/>
    <w:uiPriority w:val="0"/>
    <w:pPr>
      <w:spacing w:after="120"/>
      <w:ind w:left="1440" w:leftChars="700" w:right="1440" w:rightChars="700"/>
    </w:pPr>
  </w:style>
  <w:style w:type="paragraph" w:styleId="41">
    <w:name w:val="List Bullet 2"/>
    <w:basedOn w:val="1"/>
    <w:autoRedefine/>
    <w:qFormat/>
    <w:uiPriority w:val="0"/>
    <w:pPr>
      <w:numPr>
        <w:ilvl w:val="0"/>
        <w:numId w:val="8"/>
      </w:numPr>
    </w:pPr>
  </w:style>
  <w:style w:type="paragraph" w:styleId="42">
    <w:name w:val="HTML Address"/>
    <w:basedOn w:val="1"/>
    <w:autoRedefine/>
    <w:qFormat/>
    <w:uiPriority w:val="0"/>
    <w:rPr>
      <w:i/>
      <w:iCs/>
    </w:rPr>
  </w:style>
  <w:style w:type="paragraph" w:styleId="43">
    <w:name w:val="index 4"/>
    <w:basedOn w:val="1"/>
    <w:next w:val="1"/>
    <w:autoRedefine/>
    <w:semiHidden/>
    <w:qFormat/>
    <w:uiPriority w:val="0"/>
    <w:pPr>
      <w:ind w:left="600" w:leftChars="600"/>
    </w:pPr>
  </w:style>
  <w:style w:type="paragraph" w:styleId="44">
    <w:name w:val="toc 5"/>
    <w:basedOn w:val="1"/>
    <w:next w:val="1"/>
    <w:autoRedefine/>
    <w:semiHidden/>
    <w:qFormat/>
    <w:uiPriority w:val="0"/>
    <w:pPr>
      <w:ind w:left="1680" w:leftChars="800"/>
    </w:pPr>
  </w:style>
  <w:style w:type="paragraph" w:styleId="45">
    <w:name w:val="toc 3"/>
    <w:basedOn w:val="1"/>
    <w:next w:val="1"/>
    <w:autoRedefine/>
    <w:semiHidden/>
    <w:qFormat/>
    <w:uiPriority w:val="0"/>
    <w:pPr>
      <w:ind w:left="840" w:leftChars="400"/>
    </w:pPr>
  </w:style>
  <w:style w:type="paragraph" w:styleId="46">
    <w:name w:val="Plain Text"/>
    <w:basedOn w:val="1"/>
    <w:link w:val="118"/>
    <w:autoRedefine/>
    <w:qFormat/>
    <w:uiPriority w:val="0"/>
    <w:rPr>
      <w:rFonts w:ascii="宋体" w:hAnsi="Courier New" w:cs="Courier New"/>
      <w:sz w:val="21"/>
      <w:szCs w:val="21"/>
    </w:rPr>
  </w:style>
  <w:style w:type="paragraph" w:styleId="47">
    <w:name w:val="List Bullet 5"/>
    <w:basedOn w:val="1"/>
    <w:autoRedefine/>
    <w:qFormat/>
    <w:uiPriority w:val="0"/>
    <w:pPr>
      <w:numPr>
        <w:ilvl w:val="0"/>
        <w:numId w:val="9"/>
      </w:numPr>
    </w:pPr>
  </w:style>
  <w:style w:type="paragraph" w:styleId="48">
    <w:name w:val="List Number 4"/>
    <w:basedOn w:val="1"/>
    <w:autoRedefine/>
    <w:qFormat/>
    <w:uiPriority w:val="0"/>
    <w:pPr>
      <w:numPr>
        <w:ilvl w:val="0"/>
        <w:numId w:val="10"/>
      </w:numPr>
    </w:pPr>
  </w:style>
  <w:style w:type="paragraph" w:styleId="49">
    <w:name w:val="toc 8"/>
    <w:basedOn w:val="1"/>
    <w:next w:val="1"/>
    <w:autoRedefine/>
    <w:semiHidden/>
    <w:qFormat/>
    <w:uiPriority w:val="0"/>
    <w:pPr>
      <w:ind w:left="2940" w:leftChars="1400"/>
    </w:pPr>
  </w:style>
  <w:style w:type="paragraph" w:styleId="50">
    <w:name w:val="index 3"/>
    <w:basedOn w:val="1"/>
    <w:next w:val="1"/>
    <w:autoRedefine/>
    <w:semiHidden/>
    <w:qFormat/>
    <w:uiPriority w:val="0"/>
    <w:pPr>
      <w:ind w:left="400" w:leftChars="400"/>
    </w:pPr>
  </w:style>
  <w:style w:type="paragraph" w:styleId="51">
    <w:name w:val="Date"/>
    <w:basedOn w:val="1"/>
    <w:next w:val="1"/>
    <w:autoRedefine/>
    <w:qFormat/>
    <w:uiPriority w:val="0"/>
    <w:pPr>
      <w:ind w:left="100" w:leftChars="2500"/>
    </w:pPr>
  </w:style>
  <w:style w:type="paragraph" w:styleId="52">
    <w:name w:val="Body Text Indent 2"/>
    <w:basedOn w:val="1"/>
    <w:autoRedefine/>
    <w:qFormat/>
    <w:uiPriority w:val="0"/>
    <w:pPr>
      <w:spacing w:after="120" w:line="480" w:lineRule="auto"/>
      <w:ind w:left="420" w:leftChars="200"/>
    </w:pPr>
  </w:style>
  <w:style w:type="paragraph" w:styleId="53">
    <w:name w:val="endnote text"/>
    <w:basedOn w:val="1"/>
    <w:autoRedefine/>
    <w:semiHidden/>
    <w:qFormat/>
    <w:uiPriority w:val="0"/>
    <w:pPr>
      <w:snapToGrid w:val="0"/>
      <w:jc w:val="left"/>
    </w:pPr>
  </w:style>
  <w:style w:type="paragraph" w:styleId="54">
    <w:name w:val="List Continue 5"/>
    <w:basedOn w:val="1"/>
    <w:autoRedefine/>
    <w:qFormat/>
    <w:uiPriority w:val="0"/>
    <w:pPr>
      <w:spacing w:after="120"/>
      <w:ind w:left="2100" w:leftChars="1000"/>
    </w:pPr>
  </w:style>
  <w:style w:type="paragraph" w:styleId="55">
    <w:name w:val="Balloon Text"/>
    <w:basedOn w:val="1"/>
    <w:link w:val="104"/>
    <w:autoRedefine/>
    <w:qFormat/>
    <w:uiPriority w:val="0"/>
    <w:rPr>
      <w:sz w:val="18"/>
      <w:szCs w:val="18"/>
      <w:lang w:val="zh-CN" w:eastAsia="zh-CN"/>
    </w:rPr>
  </w:style>
  <w:style w:type="paragraph" w:styleId="56">
    <w:name w:val="footer"/>
    <w:basedOn w:val="1"/>
    <w:link w:val="103"/>
    <w:autoRedefine/>
    <w:qFormat/>
    <w:uiPriority w:val="0"/>
    <w:pPr>
      <w:tabs>
        <w:tab w:val="center" w:pos="4153"/>
        <w:tab w:val="right" w:pos="8306"/>
      </w:tabs>
      <w:snapToGrid w:val="0"/>
      <w:jc w:val="left"/>
    </w:pPr>
    <w:rPr>
      <w:sz w:val="18"/>
      <w:szCs w:val="18"/>
      <w:lang w:val="zh-CN" w:eastAsia="zh-CN"/>
    </w:rPr>
  </w:style>
  <w:style w:type="paragraph" w:styleId="57">
    <w:name w:val="envelope return"/>
    <w:basedOn w:val="1"/>
    <w:autoRedefine/>
    <w:qFormat/>
    <w:uiPriority w:val="0"/>
    <w:pPr>
      <w:snapToGrid w:val="0"/>
    </w:pPr>
    <w:rPr>
      <w:rFonts w:ascii="Arial" w:hAnsi="Arial" w:cs="Arial"/>
    </w:rPr>
  </w:style>
  <w:style w:type="paragraph" w:styleId="58">
    <w:name w:val="header"/>
    <w:basedOn w:val="1"/>
    <w:link w:val="102"/>
    <w:autoRedefine/>
    <w:qFormat/>
    <w:uiPriority w:val="0"/>
    <w:pPr>
      <w:pBdr>
        <w:bottom w:val="single" w:color="auto" w:sz="6" w:space="1"/>
      </w:pBdr>
      <w:tabs>
        <w:tab w:val="center" w:pos="4153"/>
        <w:tab w:val="right" w:pos="8306"/>
      </w:tabs>
      <w:snapToGrid w:val="0"/>
      <w:jc w:val="center"/>
    </w:pPr>
    <w:rPr>
      <w:sz w:val="18"/>
      <w:szCs w:val="18"/>
      <w:lang w:val="zh-CN" w:eastAsia="zh-CN"/>
    </w:rPr>
  </w:style>
  <w:style w:type="paragraph" w:styleId="59">
    <w:name w:val="Signature"/>
    <w:basedOn w:val="1"/>
    <w:autoRedefine/>
    <w:qFormat/>
    <w:uiPriority w:val="0"/>
    <w:pPr>
      <w:ind w:left="100" w:leftChars="2100"/>
    </w:pPr>
  </w:style>
  <w:style w:type="paragraph" w:styleId="60">
    <w:name w:val="toc 1"/>
    <w:basedOn w:val="1"/>
    <w:next w:val="1"/>
    <w:autoRedefine/>
    <w:qFormat/>
    <w:uiPriority w:val="39"/>
    <w:pPr>
      <w:tabs>
        <w:tab w:val="right" w:leader="dot" w:pos="9488"/>
      </w:tabs>
      <w:ind w:firstLine="391" w:firstLineChars="163"/>
    </w:pPr>
    <w:rPr>
      <w:color w:val="000000"/>
    </w:rPr>
  </w:style>
  <w:style w:type="paragraph" w:styleId="61">
    <w:name w:val="List Continue 4"/>
    <w:basedOn w:val="1"/>
    <w:autoRedefine/>
    <w:qFormat/>
    <w:uiPriority w:val="0"/>
    <w:pPr>
      <w:spacing w:after="120"/>
      <w:ind w:left="1680" w:leftChars="800"/>
    </w:pPr>
  </w:style>
  <w:style w:type="paragraph" w:styleId="62">
    <w:name w:val="toc 4"/>
    <w:basedOn w:val="1"/>
    <w:next w:val="1"/>
    <w:autoRedefine/>
    <w:semiHidden/>
    <w:qFormat/>
    <w:uiPriority w:val="0"/>
    <w:pPr>
      <w:ind w:left="1260" w:leftChars="600"/>
    </w:pPr>
  </w:style>
  <w:style w:type="paragraph" w:styleId="63">
    <w:name w:val="index heading"/>
    <w:basedOn w:val="1"/>
    <w:next w:val="64"/>
    <w:autoRedefine/>
    <w:semiHidden/>
    <w:qFormat/>
    <w:uiPriority w:val="0"/>
    <w:rPr>
      <w:rFonts w:ascii="Arial" w:hAnsi="Arial" w:cs="Arial"/>
      <w:b/>
      <w:bCs/>
    </w:rPr>
  </w:style>
  <w:style w:type="paragraph" w:styleId="64">
    <w:name w:val="index 1"/>
    <w:basedOn w:val="1"/>
    <w:next w:val="1"/>
    <w:autoRedefine/>
    <w:semiHidden/>
    <w:qFormat/>
    <w:uiPriority w:val="0"/>
  </w:style>
  <w:style w:type="paragraph" w:styleId="65">
    <w:name w:val="Subtitle"/>
    <w:basedOn w:val="1"/>
    <w:next w:val="1"/>
    <w:link w:val="107"/>
    <w:autoRedefine/>
    <w:qFormat/>
    <w:uiPriority w:val="0"/>
    <w:pPr>
      <w:adjustRightInd w:val="0"/>
      <w:ind w:left="100" w:leftChars="100" w:right="100" w:rightChars="100"/>
      <w:jc w:val="left"/>
      <w:outlineLvl w:val="1"/>
    </w:pPr>
    <w:rPr>
      <w:rFonts w:ascii="Cambria" w:hAnsi="Cambria"/>
      <w:bCs/>
      <w:kern w:val="28"/>
      <w:szCs w:val="32"/>
      <w:lang w:val="zh-CN" w:eastAsia="zh-CN"/>
    </w:rPr>
  </w:style>
  <w:style w:type="paragraph" w:styleId="66">
    <w:name w:val="List Number 5"/>
    <w:basedOn w:val="1"/>
    <w:autoRedefine/>
    <w:qFormat/>
    <w:uiPriority w:val="0"/>
    <w:pPr>
      <w:numPr>
        <w:ilvl w:val="0"/>
        <w:numId w:val="11"/>
      </w:numPr>
    </w:pPr>
  </w:style>
  <w:style w:type="paragraph" w:styleId="67">
    <w:name w:val="List"/>
    <w:basedOn w:val="1"/>
    <w:autoRedefine/>
    <w:qFormat/>
    <w:uiPriority w:val="0"/>
    <w:pPr>
      <w:ind w:left="200" w:hanging="200" w:hangingChars="200"/>
    </w:pPr>
  </w:style>
  <w:style w:type="paragraph" w:styleId="68">
    <w:name w:val="footnote text"/>
    <w:basedOn w:val="1"/>
    <w:autoRedefine/>
    <w:semiHidden/>
    <w:qFormat/>
    <w:uiPriority w:val="0"/>
    <w:pPr>
      <w:snapToGrid w:val="0"/>
      <w:jc w:val="left"/>
    </w:pPr>
    <w:rPr>
      <w:sz w:val="18"/>
      <w:szCs w:val="18"/>
    </w:rPr>
  </w:style>
  <w:style w:type="paragraph" w:styleId="69">
    <w:name w:val="toc 6"/>
    <w:basedOn w:val="1"/>
    <w:next w:val="1"/>
    <w:autoRedefine/>
    <w:semiHidden/>
    <w:qFormat/>
    <w:uiPriority w:val="0"/>
    <w:pPr>
      <w:ind w:left="2100" w:leftChars="1000"/>
    </w:pPr>
  </w:style>
  <w:style w:type="paragraph" w:styleId="70">
    <w:name w:val="List 5"/>
    <w:basedOn w:val="1"/>
    <w:autoRedefine/>
    <w:qFormat/>
    <w:uiPriority w:val="0"/>
    <w:pPr>
      <w:ind w:left="100" w:leftChars="800" w:hanging="200" w:hangingChars="200"/>
    </w:pPr>
  </w:style>
  <w:style w:type="paragraph" w:styleId="71">
    <w:name w:val="Body Text Indent 3"/>
    <w:basedOn w:val="1"/>
    <w:autoRedefine/>
    <w:qFormat/>
    <w:uiPriority w:val="0"/>
    <w:pPr>
      <w:spacing w:after="120"/>
      <w:ind w:left="420" w:leftChars="200"/>
    </w:pPr>
    <w:rPr>
      <w:sz w:val="16"/>
      <w:szCs w:val="16"/>
    </w:rPr>
  </w:style>
  <w:style w:type="paragraph" w:styleId="72">
    <w:name w:val="index 7"/>
    <w:basedOn w:val="1"/>
    <w:next w:val="1"/>
    <w:autoRedefine/>
    <w:semiHidden/>
    <w:qFormat/>
    <w:uiPriority w:val="0"/>
    <w:pPr>
      <w:ind w:left="1200" w:leftChars="1200"/>
    </w:pPr>
  </w:style>
  <w:style w:type="paragraph" w:styleId="73">
    <w:name w:val="index 9"/>
    <w:basedOn w:val="1"/>
    <w:next w:val="1"/>
    <w:autoRedefine/>
    <w:semiHidden/>
    <w:qFormat/>
    <w:uiPriority w:val="0"/>
    <w:pPr>
      <w:ind w:left="1600" w:leftChars="1600"/>
    </w:pPr>
  </w:style>
  <w:style w:type="paragraph" w:styleId="74">
    <w:name w:val="table of figures"/>
    <w:basedOn w:val="1"/>
    <w:next w:val="1"/>
    <w:autoRedefine/>
    <w:semiHidden/>
    <w:qFormat/>
    <w:uiPriority w:val="0"/>
    <w:pPr>
      <w:ind w:left="200" w:leftChars="200" w:hanging="200" w:hangingChars="200"/>
    </w:pPr>
  </w:style>
  <w:style w:type="paragraph" w:styleId="75">
    <w:name w:val="toc 2"/>
    <w:basedOn w:val="1"/>
    <w:next w:val="1"/>
    <w:autoRedefine/>
    <w:qFormat/>
    <w:uiPriority w:val="39"/>
    <w:pPr>
      <w:tabs>
        <w:tab w:val="left" w:pos="994"/>
        <w:tab w:val="right" w:leader="dot" w:pos="9488"/>
      </w:tabs>
      <w:ind w:left="480" w:leftChars="164" w:hanging="86" w:hangingChars="36"/>
    </w:pPr>
  </w:style>
  <w:style w:type="paragraph" w:styleId="76">
    <w:name w:val="toc 9"/>
    <w:basedOn w:val="1"/>
    <w:next w:val="1"/>
    <w:autoRedefine/>
    <w:semiHidden/>
    <w:qFormat/>
    <w:uiPriority w:val="0"/>
    <w:pPr>
      <w:ind w:left="3360" w:leftChars="1600"/>
    </w:pPr>
  </w:style>
  <w:style w:type="paragraph" w:styleId="77">
    <w:name w:val="Body Text 2"/>
    <w:basedOn w:val="1"/>
    <w:autoRedefine/>
    <w:qFormat/>
    <w:uiPriority w:val="0"/>
    <w:pPr>
      <w:spacing w:after="120" w:line="480" w:lineRule="auto"/>
    </w:pPr>
  </w:style>
  <w:style w:type="paragraph" w:styleId="78">
    <w:name w:val="List 4"/>
    <w:basedOn w:val="1"/>
    <w:autoRedefine/>
    <w:qFormat/>
    <w:uiPriority w:val="0"/>
    <w:pPr>
      <w:ind w:left="100" w:leftChars="600" w:hanging="200" w:hangingChars="200"/>
    </w:pPr>
  </w:style>
  <w:style w:type="paragraph" w:styleId="79">
    <w:name w:val="List Continue 2"/>
    <w:basedOn w:val="1"/>
    <w:autoRedefine/>
    <w:qFormat/>
    <w:uiPriority w:val="0"/>
    <w:pPr>
      <w:spacing w:after="120"/>
      <w:ind w:left="840" w:leftChars="400"/>
    </w:pPr>
  </w:style>
  <w:style w:type="paragraph" w:styleId="8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rPr>
  </w:style>
  <w:style w:type="paragraph" w:styleId="81">
    <w:name w:val="HTML Preformatted"/>
    <w:basedOn w:val="1"/>
    <w:autoRedefine/>
    <w:qFormat/>
    <w:uiPriority w:val="0"/>
    <w:rPr>
      <w:rFonts w:ascii="Courier New" w:hAnsi="Courier New" w:cs="Courier New"/>
      <w:sz w:val="20"/>
      <w:szCs w:val="20"/>
    </w:rPr>
  </w:style>
  <w:style w:type="paragraph" w:styleId="82">
    <w:name w:val="Normal (Web)"/>
    <w:basedOn w:val="1"/>
    <w:autoRedefine/>
    <w:qFormat/>
    <w:uiPriority w:val="0"/>
  </w:style>
  <w:style w:type="paragraph" w:styleId="83">
    <w:name w:val="List Continue 3"/>
    <w:basedOn w:val="1"/>
    <w:autoRedefine/>
    <w:qFormat/>
    <w:uiPriority w:val="0"/>
    <w:pPr>
      <w:spacing w:after="120"/>
      <w:ind w:left="1260" w:leftChars="600"/>
    </w:pPr>
  </w:style>
  <w:style w:type="paragraph" w:styleId="84">
    <w:name w:val="index 2"/>
    <w:basedOn w:val="1"/>
    <w:next w:val="1"/>
    <w:autoRedefine/>
    <w:semiHidden/>
    <w:qFormat/>
    <w:uiPriority w:val="0"/>
    <w:pPr>
      <w:ind w:left="200" w:leftChars="200"/>
    </w:pPr>
  </w:style>
  <w:style w:type="paragraph" w:styleId="85">
    <w:name w:val="annotation subject"/>
    <w:basedOn w:val="29"/>
    <w:next w:val="29"/>
    <w:autoRedefine/>
    <w:semiHidden/>
    <w:qFormat/>
    <w:uiPriority w:val="0"/>
    <w:rPr>
      <w:b/>
      <w:bCs/>
    </w:rPr>
  </w:style>
  <w:style w:type="paragraph" w:styleId="86">
    <w:name w:val="Body Text First Indent"/>
    <w:basedOn w:val="35"/>
    <w:autoRedefine/>
    <w:qFormat/>
    <w:uiPriority w:val="0"/>
    <w:pPr>
      <w:ind w:firstLine="420" w:firstLineChars="100"/>
    </w:pPr>
  </w:style>
  <w:style w:type="paragraph" w:styleId="87">
    <w:name w:val="Body Text First Indent 2"/>
    <w:basedOn w:val="36"/>
    <w:autoRedefine/>
    <w:qFormat/>
    <w:uiPriority w:val="0"/>
    <w:pPr>
      <w:ind w:firstLine="420" w:firstLineChars="200"/>
    </w:pPr>
  </w:style>
  <w:style w:type="table" w:styleId="89">
    <w:name w:val="Table Grid"/>
    <w:basedOn w:val="8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autoRedefine/>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qFormat/>
    <w:uiPriority w:val="0"/>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qFormat/>
    <w:uiPriority w:val="0"/>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97">
    <w:name w:val="Strong"/>
    <w:basedOn w:val="96"/>
    <w:autoRedefine/>
    <w:qFormat/>
    <w:uiPriority w:val="0"/>
    <w:rPr>
      <w:b/>
    </w:rPr>
  </w:style>
  <w:style w:type="character" w:styleId="98">
    <w:name w:val="page number"/>
    <w:basedOn w:val="96"/>
    <w:autoRedefine/>
    <w:qFormat/>
    <w:uiPriority w:val="0"/>
  </w:style>
  <w:style w:type="character" w:styleId="99">
    <w:name w:val="Emphasis"/>
    <w:autoRedefine/>
    <w:qFormat/>
    <w:uiPriority w:val="20"/>
    <w:rPr>
      <w:color w:val="CC0033"/>
    </w:rPr>
  </w:style>
  <w:style w:type="character" w:styleId="100">
    <w:name w:val="Hyperlink"/>
    <w:autoRedefine/>
    <w:unhideWhenUsed/>
    <w:qFormat/>
    <w:uiPriority w:val="99"/>
    <w:rPr>
      <w:color w:val="0000FF"/>
      <w:u w:val="single"/>
    </w:rPr>
  </w:style>
  <w:style w:type="character" w:styleId="101">
    <w:name w:val="annotation reference"/>
    <w:basedOn w:val="96"/>
    <w:autoRedefine/>
    <w:semiHidden/>
    <w:unhideWhenUsed/>
    <w:qFormat/>
    <w:uiPriority w:val="0"/>
    <w:rPr>
      <w:sz w:val="21"/>
      <w:szCs w:val="21"/>
    </w:rPr>
  </w:style>
  <w:style w:type="character" w:customStyle="1" w:styleId="102">
    <w:name w:val="页眉 Char"/>
    <w:link w:val="58"/>
    <w:autoRedefine/>
    <w:qFormat/>
    <w:uiPriority w:val="0"/>
    <w:rPr>
      <w:kern w:val="2"/>
      <w:sz w:val="18"/>
      <w:szCs w:val="18"/>
    </w:rPr>
  </w:style>
  <w:style w:type="character" w:customStyle="1" w:styleId="103">
    <w:name w:val="页脚 Char"/>
    <w:link w:val="56"/>
    <w:autoRedefine/>
    <w:qFormat/>
    <w:uiPriority w:val="0"/>
    <w:rPr>
      <w:kern w:val="2"/>
      <w:sz w:val="18"/>
      <w:szCs w:val="18"/>
    </w:rPr>
  </w:style>
  <w:style w:type="character" w:customStyle="1" w:styleId="104">
    <w:name w:val="批注框文本 Char"/>
    <w:link w:val="55"/>
    <w:autoRedefine/>
    <w:qFormat/>
    <w:uiPriority w:val="0"/>
    <w:rPr>
      <w:kern w:val="2"/>
      <w:sz w:val="18"/>
      <w:szCs w:val="18"/>
    </w:rPr>
  </w:style>
  <w:style w:type="character" w:customStyle="1" w:styleId="105">
    <w:name w:val="标题 Char"/>
    <w:link w:val="4"/>
    <w:autoRedefine/>
    <w:qFormat/>
    <w:uiPriority w:val="0"/>
    <w:rPr>
      <w:rFonts w:ascii="Cambria" w:hAnsi="Cambria" w:cs="Times New Roman"/>
      <w:b/>
      <w:bCs/>
      <w:kern w:val="2"/>
      <w:sz w:val="32"/>
      <w:szCs w:val="32"/>
    </w:rPr>
  </w:style>
  <w:style w:type="character" w:customStyle="1" w:styleId="106">
    <w:name w:val="标题 1 Char"/>
    <w:link w:val="3"/>
    <w:autoRedefine/>
    <w:qFormat/>
    <w:uiPriority w:val="0"/>
    <w:rPr>
      <w:rFonts w:ascii="Cambria" w:hAnsi="Cambria" w:eastAsia="黑体"/>
      <w:b/>
      <w:bCs/>
      <w:kern w:val="2"/>
      <w:sz w:val="24"/>
      <w:szCs w:val="32"/>
      <w:lang w:val="zh-CN" w:eastAsia="zh-CN"/>
    </w:rPr>
  </w:style>
  <w:style w:type="character" w:customStyle="1" w:styleId="107">
    <w:name w:val="副标题 Char"/>
    <w:link w:val="65"/>
    <w:autoRedefine/>
    <w:qFormat/>
    <w:uiPriority w:val="0"/>
    <w:rPr>
      <w:rFonts w:ascii="Cambria" w:hAnsi="Cambria"/>
      <w:bCs/>
      <w:kern w:val="28"/>
      <w:sz w:val="24"/>
      <w:szCs w:val="32"/>
    </w:rPr>
  </w:style>
  <w:style w:type="character" w:customStyle="1" w:styleId="108">
    <w:name w:val="apple-style-span"/>
    <w:basedOn w:val="96"/>
    <w:autoRedefine/>
    <w:qFormat/>
    <w:uiPriority w:val="0"/>
  </w:style>
  <w:style w:type="paragraph" w:customStyle="1" w:styleId="109">
    <w:name w:val="Char Char Char Char Char Char Char"/>
    <w:basedOn w:val="1"/>
    <w:autoRedefine/>
    <w:qFormat/>
    <w:uiPriority w:val="0"/>
    <w:pPr>
      <w:tabs>
        <w:tab w:val="left" w:pos="360"/>
      </w:tabs>
      <w:spacing w:line="240" w:lineRule="auto"/>
      <w:ind w:left="360" w:hanging="360"/>
    </w:pPr>
    <w:rPr>
      <w:sz w:val="21"/>
    </w:rPr>
  </w:style>
  <w:style w:type="paragraph" w:styleId="110">
    <w:name w:val="List Paragraph"/>
    <w:basedOn w:val="1"/>
    <w:autoRedefine/>
    <w:qFormat/>
    <w:uiPriority w:val="0"/>
    <w:pPr>
      <w:widowControl/>
      <w:spacing w:line="240" w:lineRule="auto"/>
      <w:ind w:left="720" w:firstLine="360"/>
      <w:contextualSpacing/>
      <w:jc w:val="left"/>
    </w:pPr>
    <w:rPr>
      <w:rFonts w:ascii="Calibri" w:hAnsi="Calibri"/>
      <w:kern w:val="0"/>
      <w:sz w:val="22"/>
      <w:szCs w:val="22"/>
      <w:lang w:eastAsia="en-US" w:bidi="en-US"/>
    </w:rPr>
  </w:style>
  <w:style w:type="character" w:customStyle="1" w:styleId="111">
    <w:name w:val="bluetxt1"/>
    <w:basedOn w:val="96"/>
    <w:autoRedefine/>
    <w:qFormat/>
    <w:uiPriority w:val="0"/>
  </w:style>
  <w:style w:type="character" w:customStyle="1" w:styleId="112">
    <w:name w:val="hps"/>
    <w:basedOn w:val="96"/>
    <w:autoRedefine/>
    <w:qFormat/>
    <w:uiPriority w:val="0"/>
  </w:style>
  <w:style w:type="character" w:customStyle="1" w:styleId="113">
    <w:name w:val="short_text"/>
    <w:basedOn w:val="96"/>
    <w:autoRedefine/>
    <w:qFormat/>
    <w:uiPriority w:val="0"/>
  </w:style>
  <w:style w:type="paragraph" w:customStyle="1" w:styleId="114">
    <w:name w:val="Char Char1"/>
    <w:basedOn w:val="1"/>
    <w:autoRedefine/>
    <w:qFormat/>
    <w:uiPriority w:val="0"/>
    <w:pPr>
      <w:spacing w:line="240" w:lineRule="auto"/>
    </w:pPr>
    <w:rPr>
      <w:rFonts w:ascii="Tahoma" w:hAnsi="Tahoma"/>
      <w:szCs w:val="20"/>
    </w:rPr>
  </w:style>
  <w:style w:type="character" w:customStyle="1" w:styleId="115">
    <w:name w:val="label_list1"/>
    <w:basedOn w:val="96"/>
    <w:autoRedefine/>
    <w:qFormat/>
    <w:uiPriority w:val="0"/>
  </w:style>
  <w:style w:type="character" w:customStyle="1" w:styleId="116">
    <w:name w:val="标题 2 Char"/>
    <w:link w:val="5"/>
    <w:autoRedefine/>
    <w:qFormat/>
    <w:uiPriority w:val="0"/>
    <w:rPr>
      <w:rFonts w:ascii="Arial" w:hAnsi="Arial" w:eastAsia="黑体"/>
      <w:b/>
      <w:bCs/>
      <w:kern w:val="2"/>
      <w:sz w:val="32"/>
      <w:szCs w:val="32"/>
    </w:rPr>
  </w:style>
  <w:style w:type="character" w:customStyle="1" w:styleId="117">
    <w:name w:val="doc_title"/>
    <w:basedOn w:val="96"/>
    <w:autoRedefine/>
    <w:qFormat/>
    <w:uiPriority w:val="0"/>
  </w:style>
  <w:style w:type="character" w:customStyle="1" w:styleId="118">
    <w:name w:val="纯文本 Char"/>
    <w:link w:val="46"/>
    <w:autoRedefine/>
    <w:qFormat/>
    <w:uiPriority w:val="0"/>
    <w:rPr>
      <w:rFonts w:ascii="宋体" w:hAnsi="Courier New" w:cs="Courier New"/>
      <w:kern w:val="2"/>
      <w:sz w:val="21"/>
      <w:szCs w:val="21"/>
    </w:rPr>
  </w:style>
  <w:style w:type="paragraph" w:customStyle="1" w:styleId="119">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styleId="120">
    <w:name w:val="Placeholder Text"/>
    <w:basedOn w:val="96"/>
    <w:autoRedefine/>
    <w:semiHidden/>
    <w:qFormat/>
    <w:uiPriority w:val="99"/>
    <w:rPr>
      <w:color w:val="808080"/>
    </w:rPr>
  </w:style>
  <w:style w:type="paragraph" w:customStyle="1" w:styleId="121">
    <w:name w:val="WPSOffice手动目录 1"/>
    <w:autoRedefine/>
    <w:qFormat/>
    <w:uiPriority w:val="0"/>
    <w:pPr>
      <w:ind w:leftChars="0"/>
    </w:pPr>
    <w:rPr>
      <w:rFonts w:ascii="Times New Roman" w:hAnsi="Times New Roman" w:eastAsia="宋体" w:cs="Times New Roman"/>
      <w:sz w:val="20"/>
      <w:szCs w:val="20"/>
    </w:rPr>
  </w:style>
  <w:style w:type="paragraph" w:customStyle="1" w:styleId="122">
    <w:name w:val="注：（正文）"/>
    <w:basedOn w:val="123"/>
    <w:next w:val="124"/>
    <w:autoRedefine/>
    <w:qFormat/>
    <w:uiPriority w:val="0"/>
  </w:style>
  <w:style w:type="paragraph" w:customStyle="1" w:styleId="123">
    <w:name w:val="注："/>
    <w:next w:val="124"/>
    <w:autoRedefine/>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24">
    <w:name w:val="段"/>
    <w:autoRedefine/>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5">
    <w:name w:val="表标题"/>
    <w:autoRedefine/>
    <w:qFormat/>
    <w:uiPriority w:val="0"/>
    <w:pPr>
      <w:keepNext/>
      <w:adjustRightInd w:val="0"/>
      <w:snapToGrid w:val="0"/>
      <w:spacing w:before="156" w:beforeLines="50"/>
      <w:jc w:val="center"/>
      <w:textAlignment w:val="baseline"/>
    </w:pPr>
    <w:rPr>
      <w:rFonts w:ascii="Times New Roman" w:hAnsi="Times New Roman" w:eastAsia="宋体" w:cs="Times New Roman"/>
      <w:b/>
      <w:bCs/>
      <w:sz w:val="21"/>
      <w:szCs w:val="21"/>
      <w:lang w:val="en-US" w:eastAsia="zh-CN" w:bidi="ar-SA"/>
    </w:rPr>
  </w:style>
  <w:style w:type="paragraph" w:customStyle="1" w:styleId="126">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85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06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001AE0-6BED-4188-BAD5-FEEDEFFEF4D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3291</Words>
  <Characters>18765</Characters>
  <Lines>156</Lines>
  <Paragraphs>44</Paragraphs>
  <TotalTime>9</TotalTime>
  <ScaleCrop>false</ScaleCrop>
  <LinksUpToDate>false</LinksUpToDate>
  <CharactersWithSpaces>22012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2022-12-01T01:50:00Z</dcterms:created>
  <dc:creator>lanlan</dc:creator>
  <cp:lastModifiedBy>木月</cp:lastModifiedBy>
  <cp:lastPrinted>2022-11-17T05:18:00Z</cp:lastPrinted>
  <dcterms:modified xsi:type="dcterms:W3CDTF">2024-04-26T07:12:35Z</dcterms:modified>
  <dc:title>一、</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694EC3FEA2F54A8D8FECFEB92BA3A7FC_13</vt:lpwstr>
  </property>
</Properties>
</file>